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DAEAB" w14:textId="4BB15A65" w:rsidR="00563BC8" w:rsidRDefault="00523BBA" w:rsidP="0008633F">
      <w:pPr>
        <w:spacing w:before="120" w:after="120" w:line="400" w:lineRule="exact"/>
        <w:jc w:val="center"/>
        <w:rPr>
          <w:b/>
          <w:bCs/>
          <w:iCs/>
          <w:color w:val="0000FF"/>
          <w:sz w:val="32"/>
          <w:szCs w:val="20"/>
        </w:rPr>
      </w:pPr>
      <w:r>
        <w:rPr>
          <w:b/>
          <w:bCs/>
          <w:iCs/>
          <w:noProof/>
          <w:color w:val="0000FF"/>
          <w:sz w:val="32"/>
          <w:szCs w:val="20"/>
        </w:rPr>
        <mc:AlternateContent>
          <mc:Choice Requires="wps">
            <w:drawing>
              <wp:anchor distT="0" distB="0" distL="114300" distR="114300" simplePos="0" relativeHeight="251656192" behindDoc="0" locked="0" layoutInCell="1" allowOverlap="1" wp14:anchorId="5E93ACA5" wp14:editId="4B02F658">
                <wp:simplePos x="0" y="0"/>
                <wp:positionH relativeFrom="column">
                  <wp:posOffset>126365</wp:posOffset>
                </wp:positionH>
                <wp:positionV relativeFrom="paragraph">
                  <wp:posOffset>-165100</wp:posOffset>
                </wp:positionV>
                <wp:extent cx="5683250" cy="9687560"/>
                <wp:effectExtent l="21590" t="25400" r="19685"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9687560"/>
                        </a:xfrm>
                        <a:prstGeom prst="rect">
                          <a:avLst/>
                        </a:prstGeom>
                        <a:solidFill>
                          <a:srgbClr val="FFFFFF"/>
                        </a:solidFill>
                        <a:ln w="38100">
                          <a:solidFill>
                            <a:srgbClr val="000000"/>
                          </a:solidFill>
                          <a:miter lim="800000"/>
                          <a:headEnd/>
                          <a:tailEnd/>
                        </a:ln>
                      </wps:spPr>
                      <wps:txbx>
                        <w:txbxContent>
                          <w:p w14:paraId="28C91747" w14:textId="77777777" w:rsidR="008138FF" w:rsidRDefault="008138FF" w:rsidP="00563BC8">
                            <w:pPr>
                              <w:jc w:val="center"/>
                              <w:rPr>
                                <w:b/>
                                <w:sz w:val="44"/>
                                <w:szCs w:val="44"/>
                                <w:u w:val="single"/>
                              </w:rPr>
                            </w:pPr>
                          </w:p>
                          <w:p w14:paraId="458ECCDE" w14:textId="77777777" w:rsidR="008138FF" w:rsidRPr="0029436B" w:rsidRDefault="008138FF" w:rsidP="00563BC8">
                            <w:pPr>
                              <w:jc w:val="center"/>
                              <w:rPr>
                                <w:b/>
                                <w:sz w:val="36"/>
                                <w:szCs w:val="36"/>
                                <w:u w:val="single"/>
                                <w:lang w:val="fr-FR"/>
                              </w:rPr>
                            </w:pPr>
                            <w:r w:rsidRPr="0029436B">
                              <w:rPr>
                                <w:b/>
                                <w:sz w:val="36"/>
                                <w:szCs w:val="36"/>
                                <w:u w:val="single"/>
                                <w:lang w:val="fr-FR"/>
                              </w:rPr>
                              <w:t>BỘ Y TẾ</w:t>
                            </w:r>
                          </w:p>
                          <w:p w14:paraId="125644D5" w14:textId="77777777" w:rsidR="008138FF" w:rsidRPr="00F90748" w:rsidRDefault="008138FF" w:rsidP="00563BC8">
                            <w:pPr>
                              <w:rPr>
                                <w:sz w:val="44"/>
                                <w:szCs w:val="44"/>
                                <w:lang w:val="fr-FR"/>
                              </w:rPr>
                            </w:pPr>
                          </w:p>
                          <w:p w14:paraId="129B4D3D" w14:textId="77777777" w:rsidR="008138FF" w:rsidRPr="00F90748" w:rsidRDefault="008138FF" w:rsidP="00563BC8">
                            <w:pPr>
                              <w:rPr>
                                <w:sz w:val="44"/>
                                <w:szCs w:val="44"/>
                                <w:lang w:val="fr-FR"/>
                              </w:rPr>
                            </w:pPr>
                            <w:bookmarkStart w:id="0" w:name="_GoBack"/>
                            <w:bookmarkEnd w:id="0"/>
                          </w:p>
                          <w:p w14:paraId="6AEED6ED" w14:textId="77777777" w:rsidR="008138FF" w:rsidRPr="00F90748" w:rsidRDefault="008138FF" w:rsidP="00563BC8">
                            <w:pPr>
                              <w:rPr>
                                <w:sz w:val="44"/>
                                <w:szCs w:val="44"/>
                                <w:lang w:val="fr-FR"/>
                              </w:rPr>
                            </w:pPr>
                          </w:p>
                          <w:p w14:paraId="67B84405" w14:textId="77777777" w:rsidR="008138FF" w:rsidRPr="00F90748" w:rsidRDefault="008138FF" w:rsidP="00563BC8">
                            <w:pPr>
                              <w:rPr>
                                <w:sz w:val="44"/>
                                <w:szCs w:val="44"/>
                                <w:lang w:val="fr-FR"/>
                              </w:rPr>
                            </w:pPr>
                          </w:p>
                          <w:p w14:paraId="231672D2" w14:textId="77777777" w:rsidR="008138FF" w:rsidRPr="00F90748" w:rsidRDefault="008138FF" w:rsidP="00563BC8">
                            <w:pPr>
                              <w:rPr>
                                <w:sz w:val="44"/>
                                <w:szCs w:val="44"/>
                                <w:lang w:val="fr-FR"/>
                              </w:rPr>
                            </w:pPr>
                          </w:p>
                          <w:p w14:paraId="2F3FB78F" w14:textId="77777777" w:rsidR="008138FF" w:rsidRPr="00F90748" w:rsidRDefault="008138FF" w:rsidP="00563BC8">
                            <w:pPr>
                              <w:rPr>
                                <w:sz w:val="44"/>
                                <w:szCs w:val="44"/>
                                <w:lang w:val="fr-FR"/>
                              </w:rPr>
                            </w:pPr>
                          </w:p>
                          <w:p w14:paraId="3A71B78D" w14:textId="77777777" w:rsidR="008138FF" w:rsidRPr="00876351" w:rsidRDefault="008138FF" w:rsidP="00563BC8">
                            <w:pPr>
                              <w:jc w:val="center"/>
                              <w:rPr>
                                <w:sz w:val="36"/>
                                <w:szCs w:val="36"/>
                                <w:lang w:val="fr-FR"/>
                              </w:rPr>
                            </w:pPr>
                          </w:p>
                          <w:p w14:paraId="379B6474" w14:textId="77777777" w:rsidR="008138FF" w:rsidRPr="0029436B" w:rsidRDefault="008138FF" w:rsidP="00563BC8">
                            <w:pPr>
                              <w:jc w:val="center"/>
                              <w:rPr>
                                <w:b/>
                                <w:sz w:val="40"/>
                                <w:szCs w:val="40"/>
                                <w:lang w:val="fr-FR"/>
                              </w:rPr>
                            </w:pPr>
                            <w:r w:rsidRPr="0029436B">
                              <w:rPr>
                                <w:b/>
                                <w:sz w:val="40"/>
                                <w:szCs w:val="40"/>
                                <w:lang w:val="fr-FR"/>
                              </w:rPr>
                              <w:t>BÁO CÁO</w:t>
                            </w:r>
                          </w:p>
                          <w:p w14:paraId="5F6993E0" w14:textId="77777777" w:rsidR="008138FF" w:rsidRPr="0029436B" w:rsidRDefault="008138FF" w:rsidP="000D1821">
                            <w:pPr>
                              <w:jc w:val="center"/>
                              <w:rPr>
                                <w:sz w:val="36"/>
                                <w:szCs w:val="36"/>
                              </w:rPr>
                            </w:pPr>
                            <w:r w:rsidRPr="0029436B">
                              <w:rPr>
                                <w:b/>
                                <w:sz w:val="36"/>
                                <w:szCs w:val="36"/>
                              </w:rPr>
                              <w:t>ĐÁNH GIÁ VIỆC THỰC HIỆN CÁC QUY ĐỊNH CỦA PHÁP LUẬT VỀ TRIỂN KHAI HOẠT ĐỘNG TIÊM CHỦNG</w:t>
                            </w:r>
                          </w:p>
                          <w:p w14:paraId="705ADB21" w14:textId="77777777" w:rsidR="008138FF" w:rsidRDefault="008138FF" w:rsidP="00563BC8">
                            <w:pPr>
                              <w:jc w:val="center"/>
                              <w:rPr>
                                <w:sz w:val="44"/>
                                <w:szCs w:val="44"/>
                              </w:rPr>
                            </w:pPr>
                          </w:p>
                          <w:p w14:paraId="68956A43" w14:textId="77777777" w:rsidR="008138FF" w:rsidRDefault="008138FF" w:rsidP="00563BC8">
                            <w:pPr>
                              <w:jc w:val="center"/>
                              <w:rPr>
                                <w:sz w:val="44"/>
                                <w:szCs w:val="44"/>
                              </w:rPr>
                            </w:pPr>
                          </w:p>
                          <w:p w14:paraId="471A6E1F" w14:textId="77777777" w:rsidR="008138FF" w:rsidRDefault="008138FF" w:rsidP="00563BC8">
                            <w:pPr>
                              <w:jc w:val="center"/>
                              <w:rPr>
                                <w:sz w:val="44"/>
                                <w:szCs w:val="44"/>
                              </w:rPr>
                            </w:pPr>
                          </w:p>
                          <w:p w14:paraId="5BFF76AC" w14:textId="77777777" w:rsidR="008138FF" w:rsidRDefault="008138FF" w:rsidP="00563BC8">
                            <w:pPr>
                              <w:jc w:val="center"/>
                              <w:rPr>
                                <w:sz w:val="44"/>
                                <w:szCs w:val="44"/>
                              </w:rPr>
                            </w:pPr>
                          </w:p>
                          <w:p w14:paraId="72789566" w14:textId="77777777" w:rsidR="008138FF" w:rsidRDefault="008138FF" w:rsidP="00563BC8">
                            <w:pPr>
                              <w:jc w:val="center"/>
                              <w:rPr>
                                <w:sz w:val="44"/>
                                <w:szCs w:val="44"/>
                              </w:rPr>
                            </w:pPr>
                          </w:p>
                          <w:p w14:paraId="17085FFF" w14:textId="77777777" w:rsidR="008138FF" w:rsidRDefault="008138FF" w:rsidP="00563BC8">
                            <w:pPr>
                              <w:jc w:val="center"/>
                              <w:rPr>
                                <w:sz w:val="44"/>
                                <w:szCs w:val="44"/>
                              </w:rPr>
                            </w:pPr>
                          </w:p>
                          <w:p w14:paraId="37576984" w14:textId="77777777" w:rsidR="008138FF" w:rsidRDefault="008138FF" w:rsidP="00563BC8">
                            <w:pPr>
                              <w:jc w:val="center"/>
                              <w:rPr>
                                <w:sz w:val="44"/>
                                <w:szCs w:val="44"/>
                              </w:rPr>
                            </w:pPr>
                          </w:p>
                          <w:p w14:paraId="2F77C96A" w14:textId="77777777" w:rsidR="008138FF" w:rsidRDefault="008138FF" w:rsidP="00563BC8">
                            <w:pPr>
                              <w:jc w:val="center"/>
                              <w:rPr>
                                <w:sz w:val="44"/>
                                <w:szCs w:val="44"/>
                              </w:rPr>
                            </w:pPr>
                          </w:p>
                          <w:p w14:paraId="2176C6E5" w14:textId="77777777" w:rsidR="008138FF" w:rsidRDefault="008138FF" w:rsidP="00563BC8">
                            <w:pPr>
                              <w:spacing w:before="120" w:after="120" w:line="400" w:lineRule="exact"/>
                              <w:jc w:val="center"/>
                              <w:rPr>
                                <w:sz w:val="44"/>
                                <w:szCs w:val="44"/>
                              </w:rPr>
                            </w:pPr>
                          </w:p>
                          <w:p w14:paraId="64B8FB6F" w14:textId="77777777" w:rsidR="008138FF" w:rsidRDefault="008138FF" w:rsidP="00563BC8">
                            <w:pPr>
                              <w:spacing w:before="120" w:after="120" w:line="400" w:lineRule="exact"/>
                              <w:jc w:val="center"/>
                              <w:rPr>
                                <w:sz w:val="44"/>
                                <w:szCs w:val="44"/>
                              </w:rPr>
                            </w:pPr>
                          </w:p>
                          <w:p w14:paraId="2792ACAA" w14:textId="77777777" w:rsidR="008138FF" w:rsidRDefault="008138FF" w:rsidP="00563BC8">
                            <w:pPr>
                              <w:spacing w:before="120" w:after="120" w:line="400" w:lineRule="exact"/>
                              <w:jc w:val="center"/>
                              <w:rPr>
                                <w:sz w:val="44"/>
                                <w:szCs w:val="44"/>
                              </w:rPr>
                            </w:pPr>
                          </w:p>
                          <w:p w14:paraId="40F6B958" w14:textId="77777777" w:rsidR="008138FF" w:rsidRDefault="008138FF" w:rsidP="00563BC8">
                            <w:pPr>
                              <w:spacing w:before="120" w:after="120" w:line="400" w:lineRule="exact"/>
                              <w:jc w:val="center"/>
                              <w:rPr>
                                <w:b/>
                                <w:bCs/>
                                <w:i/>
                                <w:iCs/>
                                <w:sz w:val="28"/>
                                <w:szCs w:val="28"/>
                              </w:rPr>
                            </w:pPr>
                          </w:p>
                          <w:p w14:paraId="543138AA" w14:textId="77777777" w:rsidR="008138FF" w:rsidRDefault="008138FF" w:rsidP="00563BC8">
                            <w:pPr>
                              <w:spacing w:before="120" w:after="120" w:line="400" w:lineRule="exact"/>
                              <w:jc w:val="center"/>
                              <w:rPr>
                                <w:b/>
                                <w:bCs/>
                                <w:i/>
                                <w:iCs/>
                                <w:sz w:val="28"/>
                                <w:szCs w:val="28"/>
                              </w:rPr>
                            </w:pPr>
                          </w:p>
                          <w:p w14:paraId="7F57A779" w14:textId="77777777" w:rsidR="008138FF" w:rsidRDefault="008138FF" w:rsidP="00563BC8">
                            <w:pPr>
                              <w:spacing w:before="120" w:after="120" w:line="400" w:lineRule="exact"/>
                              <w:jc w:val="center"/>
                              <w:rPr>
                                <w:b/>
                                <w:bCs/>
                                <w:i/>
                                <w:iCs/>
                                <w:sz w:val="28"/>
                                <w:szCs w:val="28"/>
                              </w:rPr>
                            </w:pPr>
                          </w:p>
                          <w:p w14:paraId="60C0C55D" w14:textId="77777777" w:rsidR="008138FF" w:rsidRDefault="008138FF" w:rsidP="00563BC8">
                            <w:pPr>
                              <w:spacing w:before="120" w:after="120" w:line="400" w:lineRule="exact"/>
                              <w:jc w:val="center"/>
                              <w:rPr>
                                <w:b/>
                                <w:bCs/>
                                <w:i/>
                                <w:iCs/>
                                <w:sz w:val="28"/>
                                <w:szCs w:val="28"/>
                              </w:rPr>
                            </w:pPr>
                          </w:p>
                          <w:p w14:paraId="5E607D17" w14:textId="77777777" w:rsidR="008138FF" w:rsidRPr="0029436B" w:rsidRDefault="008138FF" w:rsidP="00563BC8">
                            <w:pPr>
                              <w:spacing w:before="120" w:after="120" w:line="400" w:lineRule="exact"/>
                              <w:jc w:val="center"/>
                              <w:rPr>
                                <w:b/>
                                <w:bCs/>
                                <w:i/>
                                <w:iCs/>
                                <w:sz w:val="28"/>
                                <w:szCs w:val="28"/>
                              </w:rPr>
                            </w:pPr>
                            <w:r w:rsidRPr="0029436B">
                              <w:rPr>
                                <w:b/>
                                <w:bCs/>
                                <w:i/>
                                <w:iCs/>
                                <w:sz w:val="28"/>
                                <w:szCs w:val="28"/>
                              </w:rPr>
                              <w:t>Hà Nội, tháng 11/2015</w:t>
                            </w:r>
                          </w:p>
                          <w:p w14:paraId="36ABC24F" w14:textId="77777777" w:rsidR="008138FF" w:rsidRPr="00265517" w:rsidRDefault="008138FF" w:rsidP="00563BC8">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13pt;width:447.5pt;height:76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PsLAIAAFI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" strokeweight="3pt">
                <v:textbox>
                  <w:txbxContent>
                    <w:p w14:paraId="28C91747" w14:textId="77777777" w:rsidR="008138FF" w:rsidRDefault="008138FF" w:rsidP="00563BC8">
                      <w:pPr>
                        <w:jc w:val="center"/>
                        <w:rPr>
                          <w:b/>
                          <w:sz w:val="44"/>
                          <w:szCs w:val="44"/>
                          <w:u w:val="single"/>
                        </w:rPr>
                      </w:pPr>
                    </w:p>
                    <w:p w14:paraId="458ECCDE" w14:textId="77777777" w:rsidR="008138FF" w:rsidRPr="0029436B" w:rsidRDefault="008138FF" w:rsidP="00563BC8">
                      <w:pPr>
                        <w:jc w:val="center"/>
                        <w:rPr>
                          <w:b/>
                          <w:sz w:val="36"/>
                          <w:szCs w:val="36"/>
                          <w:u w:val="single"/>
                          <w:lang w:val="fr-FR"/>
                        </w:rPr>
                      </w:pPr>
                      <w:r w:rsidRPr="0029436B">
                        <w:rPr>
                          <w:b/>
                          <w:sz w:val="36"/>
                          <w:szCs w:val="36"/>
                          <w:u w:val="single"/>
                          <w:lang w:val="fr-FR"/>
                        </w:rPr>
                        <w:t>BỘ Y TẾ</w:t>
                      </w:r>
                    </w:p>
                    <w:p w14:paraId="125644D5" w14:textId="77777777" w:rsidR="008138FF" w:rsidRPr="00F90748" w:rsidRDefault="008138FF" w:rsidP="00563BC8">
                      <w:pPr>
                        <w:rPr>
                          <w:sz w:val="44"/>
                          <w:szCs w:val="44"/>
                          <w:lang w:val="fr-FR"/>
                        </w:rPr>
                      </w:pPr>
                    </w:p>
                    <w:p w14:paraId="129B4D3D" w14:textId="77777777" w:rsidR="008138FF" w:rsidRPr="00F90748" w:rsidRDefault="008138FF" w:rsidP="00563BC8">
                      <w:pPr>
                        <w:rPr>
                          <w:sz w:val="44"/>
                          <w:szCs w:val="44"/>
                          <w:lang w:val="fr-FR"/>
                        </w:rPr>
                      </w:pPr>
                      <w:bookmarkStart w:id="1" w:name="_GoBack"/>
                      <w:bookmarkEnd w:id="1"/>
                    </w:p>
                    <w:p w14:paraId="6AEED6ED" w14:textId="77777777" w:rsidR="008138FF" w:rsidRPr="00F90748" w:rsidRDefault="008138FF" w:rsidP="00563BC8">
                      <w:pPr>
                        <w:rPr>
                          <w:sz w:val="44"/>
                          <w:szCs w:val="44"/>
                          <w:lang w:val="fr-FR"/>
                        </w:rPr>
                      </w:pPr>
                    </w:p>
                    <w:p w14:paraId="67B84405" w14:textId="77777777" w:rsidR="008138FF" w:rsidRPr="00F90748" w:rsidRDefault="008138FF" w:rsidP="00563BC8">
                      <w:pPr>
                        <w:rPr>
                          <w:sz w:val="44"/>
                          <w:szCs w:val="44"/>
                          <w:lang w:val="fr-FR"/>
                        </w:rPr>
                      </w:pPr>
                    </w:p>
                    <w:p w14:paraId="231672D2" w14:textId="77777777" w:rsidR="008138FF" w:rsidRPr="00F90748" w:rsidRDefault="008138FF" w:rsidP="00563BC8">
                      <w:pPr>
                        <w:rPr>
                          <w:sz w:val="44"/>
                          <w:szCs w:val="44"/>
                          <w:lang w:val="fr-FR"/>
                        </w:rPr>
                      </w:pPr>
                    </w:p>
                    <w:p w14:paraId="2F3FB78F" w14:textId="77777777" w:rsidR="008138FF" w:rsidRPr="00F90748" w:rsidRDefault="008138FF" w:rsidP="00563BC8">
                      <w:pPr>
                        <w:rPr>
                          <w:sz w:val="44"/>
                          <w:szCs w:val="44"/>
                          <w:lang w:val="fr-FR"/>
                        </w:rPr>
                      </w:pPr>
                    </w:p>
                    <w:p w14:paraId="3A71B78D" w14:textId="77777777" w:rsidR="008138FF" w:rsidRPr="00876351" w:rsidRDefault="008138FF" w:rsidP="00563BC8">
                      <w:pPr>
                        <w:jc w:val="center"/>
                        <w:rPr>
                          <w:sz w:val="36"/>
                          <w:szCs w:val="36"/>
                          <w:lang w:val="fr-FR"/>
                        </w:rPr>
                      </w:pPr>
                    </w:p>
                    <w:p w14:paraId="379B6474" w14:textId="77777777" w:rsidR="008138FF" w:rsidRPr="0029436B" w:rsidRDefault="008138FF" w:rsidP="00563BC8">
                      <w:pPr>
                        <w:jc w:val="center"/>
                        <w:rPr>
                          <w:b/>
                          <w:sz w:val="40"/>
                          <w:szCs w:val="40"/>
                          <w:lang w:val="fr-FR"/>
                        </w:rPr>
                      </w:pPr>
                      <w:r w:rsidRPr="0029436B">
                        <w:rPr>
                          <w:b/>
                          <w:sz w:val="40"/>
                          <w:szCs w:val="40"/>
                          <w:lang w:val="fr-FR"/>
                        </w:rPr>
                        <w:t>BÁO CÁO</w:t>
                      </w:r>
                    </w:p>
                    <w:p w14:paraId="5F6993E0" w14:textId="77777777" w:rsidR="008138FF" w:rsidRPr="0029436B" w:rsidRDefault="008138FF" w:rsidP="000D1821">
                      <w:pPr>
                        <w:jc w:val="center"/>
                        <w:rPr>
                          <w:sz w:val="36"/>
                          <w:szCs w:val="36"/>
                        </w:rPr>
                      </w:pPr>
                      <w:r w:rsidRPr="0029436B">
                        <w:rPr>
                          <w:b/>
                          <w:sz w:val="36"/>
                          <w:szCs w:val="36"/>
                        </w:rPr>
                        <w:t>ĐÁNH GIÁ VIỆC THỰC HIỆN CÁC QUY ĐỊNH CỦA PHÁP LUẬT VỀ TRIỂN KHAI HOẠT ĐỘNG TIÊM CHỦNG</w:t>
                      </w:r>
                    </w:p>
                    <w:p w14:paraId="705ADB21" w14:textId="77777777" w:rsidR="008138FF" w:rsidRDefault="008138FF" w:rsidP="00563BC8">
                      <w:pPr>
                        <w:jc w:val="center"/>
                        <w:rPr>
                          <w:sz w:val="44"/>
                          <w:szCs w:val="44"/>
                        </w:rPr>
                      </w:pPr>
                    </w:p>
                    <w:p w14:paraId="68956A43" w14:textId="77777777" w:rsidR="008138FF" w:rsidRDefault="008138FF" w:rsidP="00563BC8">
                      <w:pPr>
                        <w:jc w:val="center"/>
                        <w:rPr>
                          <w:sz w:val="44"/>
                          <w:szCs w:val="44"/>
                        </w:rPr>
                      </w:pPr>
                    </w:p>
                    <w:p w14:paraId="471A6E1F" w14:textId="77777777" w:rsidR="008138FF" w:rsidRDefault="008138FF" w:rsidP="00563BC8">
                      <w:pPr>
                        <w:jc w:val="center"/>
                        <w:rPr>
                          <w:sz w:val="44"/>
                          <w:szCs w:val="44"/>
                        </w:rPr>
                      </w:pPr>
                    </w:p>
                    <w:p w14:paraId="5BFF76AC" w14:textId="77777777" w:rsidR="008138FF" w:rsidRDefault="008138FF" w:rsidP="00563BC8">
                      <w:pPr>
                        <w:jc w:val="center"/>
                        <w:rPr>
                          <w:sz w:val="44"/>
                          <w:szCs w:val="44"/>
                        </w:rPr>
                      </w:pPr>
                    </w:p>
                    <w:p w14:paraId="72789566" w14:textId="77777777" w:rsidR="008138FF" w:rsidRDefault="008138FF" w:rsidP="00563BC8">
                      <w:pPr>
                        <w:jc w:val="center"/>
                        <w:rPr>
                          <w:sz w:val="44"/>
                          <w:szCs w:val="44"/>
                        </w:rPr>
                      </w:pPr>
                    </w:p>
                    <w:p w14:paraId="17085FFF" w14:textId="77777777" w:rsidR="008138FF" w:rsidRDefault="008138FF" w:rsidP="00563BC8">
                      <w:pPr>
                        <w:jc w:val="center"/>
                        <w:rPr>
                          <w:sz w:val="44"/>
                          <w:szCs w:val="44"/>
                        </w:rPr>
                      </w:pPr>
                    </w:p>
                    <w:p w14:paraId="37576984" w14:textId="77777777" w:rsidR="008138FF" w:rsidRDefault="008138FF" w:rsidP="00563BC8">
                      <w:pPr>
                        <w:jc w:val="center"/>
                        <w:rPr>
                          <w:sz w:val="44"/>
                          <w:szCs w:val="44"/>
                        </w:rPr>
                      </w:pPr>
                    </w:p>
                    <w:p w14:paraId="2F77C96A" w14:textId="77777777" w:rsidR="008138FF" w:rsidRDefault="008138FF" w:rsidP="00563BC8">
                      <w:pPr>
                        <w:jc w:val="center"/>
                        <w:rPr>
                          <w:sz w:val="44"/>
                          <w:szCs w:val="44"/>
                        </w:rPr>
                      </w:pPr>
                    </w:p>
                    <w:p w14:paraId="2176C6E5" w14:textId="77777777" w:rsidR="008138FF" w:rsidRDefault="008138FF" w:rsidP="00563BC8">
                      <w:pPr>
                        <w:spacing w:before="120" w:after="120" w:line="400" w:lineRule="exact"/>
                        <w:jc w:val="center"/>
                        <w:rPr>
                          <w:sz w:val="44"/>
                          <w:szCs w:val="44"/>
                        </w:rPr>
                      </w:pPr>
                    </w:p>
                    <w:p w14:paraId="64B8FB6F" w14:textId="77777777" w:rsidR="008138FF" w:rsidRDefault="008138FF" w:rsidP="00563BC8">
                      <w:pPr>
                        <w:spacing w:before="120" w:after="120" w:line="400" w:lineRule="exact"/>
                        <w:jc w:val="center"/>
                        <w:rPr>
                          <w:sz w:val="44"/>
                          <w:szCs w:val="44"/>
                        </w:rPr>
                      </w:pPr>
                    </w:p>
                    <w:p w14:paraId="2792ACAA" w14:textId="77777777" w:rsidR="008138FF" w:rsidRDefault="008138FF" w:rsidP="00563BC8">
                      <w:pPr>
                        <w:spacing w:before="120" w:after="120" w:line="400" w:lineRule="exact"/>
                        <w:jc w:val="center"/>
                        <w:rPr>
                          <w:sz w:val="44"/>
                          <w:szCs w:val="44"/>
                        </w:rPr>
                      </w:pPr>
                    </w:p>
                    <w:p w14:paraId="40F6B958" w14:textId="77777777" w:rsidR="008138FF" w:rsidRDefault="008138FF" w:rsidP="00563BC8">
                      <w:pPr>
                        <w:spacing w:before="120" w:after="120" w:line="400" w:lineRule="exact"/>
                        <w:jc w:val="center"/>
                        <w:rPr>
                          <w:b/>
                          <w:bCs/>
                          <w:i/>
                          <w:iCs/>
                          <w:sz w:val="28"/>
                          <w:szCs w:val="28"/>
                        </w:rPr>
                      </w:pPr>
                    </w:p>
                    <w:p w14:paraId="543138AA" w14:textId="77777777" w:rsidR="008138FF" w:rsidRDefault="008138FF" w:rsidP="00563BC8">
                      <w:pPr>
                        <w:spacing w:before="120" w:after="120" w:line="400" w:lineRule="exact"/>
                        <w:jc w:val="center"/>
                        <w:rPr>
                          <w:b/>
                          <w:bCs/>
                          <w:i/>
                          <w:iCs/>
                          <w:sz w:val="28"/>
                          <w:szCs w:val="28"/>
                        </w:rPr>
                      </w:pPr>
                    </w:p>
                    <w:p w14:paraId="7F57A779" w14:textId="77777777" w:rsidR="008138FF" w:rsidRDefault="008138FF" w:rsidP="00563BC8">
                      <w:pPr>
                        <w:spacing w:before="120" w:after="120" w:line="400" w:lineRule="exact"/>
                        <w:jc w:val="center"/>
                        <w:rPr>
                          <w:b/>
                          <w:bCs/>
                          <w:i/>
                          <w:iCs/>
                          <w:sz w:val="28"/>
                          <w:szCs w:val="28"/>
                        </w:rPr>
                      </w:pPr>
                    </w:p>
                    <w:p w14:paraId="60C0C55D" w14:textId="77777777" w:rsidR="008138FF" w:rsidRDefault="008138FF" w:rsidP="00563BC8">
                      <w:pPr>
                        <w:spacing w:before="120" w:after="120" w:line="400" w:lineRule="exact"/>
                        <w:jc w:val="center"/>
                        <w:rPr>
                          <w:b/>
                          <w:bCs/>
                          <w:i/>
                          <w:iCs/>
                          <w:sz w:val="28"/>
                          <w:szCs w:val="28"/>
                        </w:rPr>
                      </w:pPr>
                    </w:p>
                    <w:p w14:paraId="5E607D17" w14:textId="77777777" w:rsidR="008138FF" w:rsidRPr="0029436B" w:rsidRDefault="008138FF" w:rsidP="00563BC8">
                      <w:pPr>
                        <w:spacing w:before="120" w:after="120" w:line="400" w:lineRule="exact"/>
                        <w:jc w:val="center"/>
                        <w:rPr>
                          <w:b/>
                          <w:bCs/>
                          <w:i/>
                          <w:iCs/>
                          <w:sz w:val="28"/>
                          <w:szCs w:val="28"/>
                        </w:rPr>
                      </w:pPr>
                      <w:r w:rsidRPr="0029436B">
                        <w:rPr>
                          <w:b/>
                          <w:bCs/>
                          <w:i/>
                          <w:iCs/>
                          <w:sz w:val="28"/>
                          <w:szCs w:val="28"/>
                        </w:rPr>
                        <w:t>Hà Nội, tháng 11/2015</w:t>
                      </w:r>
                    </w:p>
                    <w:p w14:paraId="36ABC24F" w14:textId="77777777" w:rsidR="008138FF" w:rsidRPr="00265517" w:rsidRDefault="008138FF" w:rsidP="00563BC8">
                      <w:pPr>
                        <w:jc w:val="center"/>
                        <w:rPr>
                          <w:sz w:val="40"/>
                          <w:szCs w:val="40"/>
                        </w:rPr>
                      </w:pPr>
                    </w:p>
                  </w:txbxContent>
                </v:textbox>
              </v:shape>
            </w:pict>
          </mc:Fallback>
        </mc:AlternateContent>
      </w:r>
    </w:p>
    <w:p w14:paraId="5FD2B1C2" w14:textId="77777777" w:rsidR="00FC4284" w:rsidRPr="0008633F" w:rsidRDefault="0008633F" w:rsidP="0008633F">
      <w:pPr>
        <w:spacing w:before="120" w:after="120" w:line="400" w:lineRule="exact"/>
        <w:jc w:val="center"/>
        <w:rPr>
          <w:b/>
          <w:bCs/>
          <w:iCs/>
          <w:color w:val="0000FF"/>
          <w:sz w:val="32"/>
          <w:szCs w:val="20"/>
        </w:rPr>
      </w:pPr>
      <w:r w:rsidRPr="0008633F">
        <w:rPr>
          <w:b/>
          <w:bCs/>
          <w:iCs/>
          <w:color w:val="0000FF"/>
          <w:sz w:val="32"/>
          <w:szCs w:val="20"/>
        </w:rPr>
        <w:t>BỘ Y TẾ</w:t>
      </w:r>
    </w:p>
    <w:p w14:paraId="30FA3EF0" w14:textId="77777777" w:rsidR="0015670D" w:rsidRDefault="0015670D" w:rsidP="0015670D">
      <w:pPr>
        <w:spacing w:line="480" w:lineRule="exact"/>
        <w:jc w:val="center"/>
        <w:rPr>
          <w:b/>
          <w:bCs/>
          <w:iCs/>
          <w:color w:val="0000FF"/>
          <w:sz w:val="36"/>
          <w:szCs w:val="36"/>
        </w:rPr>
      </w:pPr>
    </w:p>
    <w:p w14:paraId="0B4D4067" w14:textId="77777777" w:rsidR="0015670D" w:rsidRDefault="0015670D" w:rsidP="0015670D">
      <w:pPr>
        <w:spacing w:line="480" w:lineRule="exact"/>
        <w:jc w:val="center"/>
        <w:rPr>
          <w:b/>
          <w:bCs/>
          <w:iCs/>
          <w:color w:val="0000FF"/>
          <w:sz w:val="36"/>
          <w:szCs w:val="36"/>
        </w:rPr>
      </w:pPr>
    </w:p>
    <w:p w14:paraId="2DAC6046" w14:textId="77777777" w:rsidR="0015670D" w:rsidRDefault="0015670D" w:rsidP="0015670D">
      <w:pPr>
        <w:spacing w:line="480" w:lineRule="exact"/>
        <w:jc w:val="center"/>
        <w:rPr>
          <w:b/>
          <w:bCs/>
          <w:iCs/>
          <w:color w:val="0000FF"/>
          <w:sz w:val="36"/>
          <w:szCs w:val="36"/>
        </w:rPr>
      </w:pPr>
    </w:p>
    <w:p w14:paraId="48F62164" w14:textId="77777777" w:rsidR="0015670D" w:rsidRDefault="0015670D" w:rsidP="0015670D">
      <w:pPr>
        <w:spacing w:line="480" w:lineRule="exact"/>
        <w:jc w:val="center"/>
        <w:rPr>
          <w:b/>
          <w:bCs/>
          <w:iCs/>
          <w:color w:val="0000FF"/>
          <w:sz w:val="36"/>
          <w:szCs w:val="36"/>
        </w:rPr>
      </w:pPr>
    </w:p>
    <w:p w14:paraId="256BC981" w14:textId="77777777" w:rsidR="0015670D" w:rsidRDefault="0015670D" w:rsidP="0015670D">
      <w:pPr>
        <w:spacing w:line="480" w:lineRule="exact"/>
        <w:jc w:val="center"/>
        <w:rPr>
          <w:b/>
          <w:bCs/>
          <w:iCs/>
          <w:color w:val="0000FF"/>
          <w:sz w:val="36"/>
          <w:szCs w:val="36"/>
        </w:rPr>
      </w:pPr>
    </w:p>
    <w:p w14:paraId="331E1AFA" w14:textId="77777777" w:rsidR="0015670D" w:rsidRDefault="0015670D" w:rsidP="0015670D">
      <w:pPr>
        <w:spacing w:line="480" w:lineRule="exact"/>
        <w:jc w:val="center"/>
        <w:rPr>
          <w:b/>
          <w:bCs/>
          <w:iCs/>
          <w:color w:val="0000FF"/>
          <w:sz w:val="36"/>
          <w:szCs w:val="36"/>
        </w:rPr>
      </w:pPr>
    </w:p>
    <w:p w14:paraId="24FDBCBE" w14:textId="77777777" w:rsidR="0015670D" w:rsidRDefault="0015670D" w:rsidP="0015670D">
      <w:pPr>
        <w:spacing w:line="480" w:lineRule="exact"/>
        <w:jc w:val="center"/>
        <w:rPr>
          <w:b/>
          <w:bCs/>
          <w:iCs/>
          <w:color w:val="0000FF"/>
          <w:sz w:val="36"/>
          <w:szCs w:val="36"/>
        </w:rPr>
      </w:pPr>
    </w:p>
    <w:p w14:paraId="353E8949" w14:textId="77777777" w:rsidR="0015670D" w:rsidRDefault="0015670D" w:rsidP="0015670D">
      <w:pPr>
        <w:spacing w:line="480" w:lineRule="exact"/>
        <w:jc w:val="center"/>
        <w:rPr>
          <w:b/>
          <w:bCs/>
          <w:iCs/>
          <w:color w:val="0000FF"/>
          <w:sz w:val="36"/>
          <w:szCs w:val="36"/>
        </w:rPr>
      </w:pPr>
    </w:p>
    <w:p w14:paraId="3B257B34" w14:textId="77777777" w:rsidR="00FC4284" w:rsidRDefault="00FC4284" w:rsidP="0015670D">
      <w:pPr>
        <w:spacing w:before="120" w:after="120" w:line="500" w:lineRule="exact"/>
        <w:jc w:val="center"/>
        <w:rPr>
          <w:b/>
          <w:bCs/>
          <w:iCs/>
          <w:color w:val="0000FF"/>
          <w:sz w:val="36"/>
          <w:szCs w:val="36"/>
        </w:rPr>
      </w:pPr>
      <w:r w:rsidRPr="0015670D">
        <w:rPr>
          <w:b/>
          <w:bCs/>
          <w:iCs/>
          <w:color w:val="0000FF"/>
          <w:sz w:val="36"/>
          <w:szCs w:val="36"/>
        </w:rPr>
        <w:t xml:space="preserve">BÁO CÁO </w:t>
      </w:r>
    </w:p>
    <w:p w14:paraId="27F450E2" w14:textId="77777777" w:rsidR="00D66C78" w:rsidRPr="0015670D" w:rsidRDefault="00D66C78" w:rsidP="0015670D">
      <w:pPr>
        <w:spacing w:before="120" w:after="120" w:line="500" w:lineRule="exact"/>
        <w:jc w:val="center"/>
        <w:rPr>
          <w:b/>
          <w:bCs/>
          <w:iCs/>
          <w:color w:val="0000FF"/>
          <w:sz w:val="36"/>
          <w:szCs w:val="36"/>
        </w:rPr>
      </w:pPr>
    </w:p>
    <w:p w14:paraId="62CFC385" w14:textId="77777777" w:rsidR="000E1161" w:rsidRDefault="00FC4284" w:rsidP="0015670D">
      <w:pPr>
        <w:spacing w:before="120" w:after="120" w:line="500" w:lineRule="exact"/>
        <w:jc w:val="center"/>
        <w:rPr>
          <w:b/>
          <w:sz w:val="32"/>
          <w:szCs w:val="32"/>
        </w:rPr>
      </w:pPr>
      <w:r w:rsidRPr="0015670D">
        <w:rPr>
          <w:b/>
          <w:sz w:val="32"/>
          <w:szCs w:val="32"/>
        </w:rPr>
        <w:t>ĐÁNH GIA</w:t>
      </w:r>
      <w:r w:rsidR="004D1334" w:rsidRPr="0015670D">
        <w:rPr>
          <w:b/>
          <w:sz w:val="32"/>
          <w:szCs w:val="32"/>
        </w:rPr>
        <w:t xml:space="preserve"> VIỆC THỰC HIỆN CÁC QUY ĐỊNH CỦA PHÁP LUẬT VỀ XÉT TẶNG DANH HIỆU </w:t>
      </w:r>
    </w:p>
    <w:p w14:paraId="578CA1DA" w14:textId="77777777" w:rsidR="00FC4284" w:rsidRPr="0015670D" w:rsidRDefault="004D1334" w:rsidP="0015670D">
      <w:pPr>
        <w:spacing w:before="120" w:after="120" w:line="500" w:lineRule="exact"/>
        <w:jc w:val="center"/>
        <w:rPr>
          <w:b/>
          <w:sz w:val="32"/>
          <w:szCs w:val="32"/>
        </w:rPr>
      </w:pPr>
      <w:r w:rsidRPr="0015670D">
        <w:rPr>
          <w:b/>
          <w:sz w:val="32"/>
          <w:szCs w:val="32"/>
        </w:rPr>
        <w:t>"THẦY THUỐC NHÂN DÂN", "THẦY THUỐC ƯU TÚ"</w:t>
      </w:r>
    </w:p>
    <w:p w14:paraId="492A0E8C" w14:textId="77777777" w:rsidR="00FC4284" w:rsidRPr="00954D8F" w:rsidRDefault="00FC4284" w:rsidP="0015670D">
      <w:pPr>
        <w:spacing w:before="120" w:after="120" w:line="500" w:lineRule="exact"/>
        <w:jc w:val="center"/>
        <w:rPr>
          <w:b/>
          <w:bCs/>
          <w:iCs/>
          <w:color w:val="0000FF"/>
          <w:sz w:val="20"/>
          <w:szCs w:val="20"/>
        </w:rPr>
      </w:pPr>
    </w:p>
    <w:p w14:paraId="6D7CEF57" w14:textId="77777777" w:rsidR="00FC4284" w:rsidRPr="00954D8F" w:rsidRDefault="00FC4284" w:rsidP="00FC4284">
      <w:pPr>
        <w:spacing w:before="120" w:after="120" w:line="400" w:lineRule="exact"/>
        <w:jc w:val="center"/>
        <w:rPr>
          <w:b/>
          <w:bCs/>
          <w:iCs/>
          <w:color w:val="0000FF"/>
          <w:sz w:val="20"/>
          <w:szCs w:val="20"/>
        </w:rPr>
      </w:pPr>
    </w:p>
    <w:p w14:paraId="6CF6DEAE" w14:textId="77777777" w:rsidR="00FC4284" w:rsidRPr="00954D8F" w:rsidRDefault="00FC4284" w:rsidP="00FC4284">
      <w:pPr>
        <w:spacing w:before="120" w:after="120" w:line="400" w:lineRule="exact"/>
        <w:jc w:val="center"/>
        <w:rPr>
          <w:b/>
          <w:bCs/>
          <w:iCs/>
          <w:color w:val="0000FF"/>
          <w:sz w:val="20"/>
          <w:szCs w:val="20"/>
        </w:rPr>
      </w:pPr>
    </w:p>
    <w:p w14:paraId="55C99FA3" w14:textId="77777777" w:rsidR="00FC4284" w:rsidRPr="00954D8F" w:rsidRDefault="00FC4284" w:rsidP="00FC4284">
      <w:pPr>
        <w:spacing w:before="120" w:after="120" w:line="400" w:lineRule="exact"/>
        <w:jc w:val="center"/>
        <w:rPr>
          <w:b/>
          <w:bCs/>
          <w:iCs/>
          <w:color w:val="0000FF"/>
          <w:sz w:val="20"/>
          <w:szCs w:val="20"/>
        </w:rPr>
      </w:pPr>
    </w:p>
    <w:p w14:paraId="32FE15BE" w14:textId="77777777" w:rsidR="00FC4284" w:rsidRPr="00954D8F" w:rsidRDefault="00FC4284" w:rsidP="00FC4284">
      <w:pPr>
        <w:spacing w:before="120" w:after="120" w:line="400" w:lineRule="exact"/>
        <w:jc w:val="center"/>
        <w:rPr>
          <w:b/>
          <w:bCs/>
          <w:iCs/>
          <w:color w:val="0000FF"/>
          <w:sz w:val="20"/>
          <w:szCs w:val="20"/>
        </w:rPr>
      </w:pPr>
    </w:p>
    <w:p w14:paraId="5894F895" w14:textId="77777777" w:rsidR="00FC4284" w:rsidRPr="00954D8F" w:rsidRDefault="00FC4284" w:rsidP="00FC4284">
      <w:pPr>
        <w:spacing w:before="120" w:after="120" w:line="400" w:lineRule="exact"/>
        <w:jc w:val="center"/>
        <w:rPr>
          <w:b/>
          <w:bCs/>
          <w:iCs/>
          <w:color w:val="0000FF"/>
          <w:sz w:val="20"/>
          <w:szCs w:val="20"/>
        </w:rPr>
      </w:pPr>
    </w:p>
    <w:p w14:paraId="66114ECF" w14:textId="77777777" w:rsidR="00FC4284" w:rsidRPr="00954D8F" w:rsidRDefault="00FC4284" w:rsidP="00FC4284">
      <w:pPr>
        <w:spacing w:before="120" w:after="120" w:line="400" w:lineRule="exact"/>
        <w:jc w:val="center"/>
        <w:rPr>
          <w:b/>
          <w:bCs/>
          <w:iCs/>
          <w:color w:val="0000FF"/>
          <w:sz w:val="20"/>
          <w:szCs w:val="20"/>
        </w:rPr>
      </w:pPr>
    </w:p>
    <w:p w14:paraId="41093D81" w14:textId="77777777" w:rsidR="00FC4284" w:rsidRDefault="00FC4284" w:rsidP="00FC4284">
      <w:pPr>
        <w:spacing w:before="120" w:after="120" w:line="400" w:lineRule="exact"/>
        <w:jc w:val="center"/>
        <w:rPr>
          <w:b/>
          <w:bCs/>
          <w:iCs/>
          <w:color w:val="0000FF"/>
          <w:sz w:val="20"/>
          <w:szCs w:val="20"/>
        </w:rPr>
      </w:pPr>
    </w:p>
    <w:p w14:paraId="1A8963B2" w14:textId="77777777" w:rsidR="0015670D" w:rsidRDefault="0015670D" w:rsidP="00FC4284">
      <w:pPr>
        <w:spacing w:before="120" w:after="120" w:line="400" w:lineRule="exact"/>
        <w:jc w:val="center"/>
        <w:rPr>
          <w:b/>
          <w:bCs/>
          <w:iCs/>
          <w:color w:val="0000FF"/>
          <w:sz w:val="20"/>
          <w:szCs w:val="20"/>
        </w:rPr>
      </w:pPr>
    </w:p>
    <w:p w14:paraId="23C2515F" w14:textId="77777777" w:rsidR="00FC4284" w:rsidRPr="00954D8F" w:rsidRDefault="00FC4284" w:rsidP="00FC4284">
      <w:pPr>
        <w:spacing w:before="120" w:after="120" w:line="400" w:lineRule="exact"/>
        <w:jc w:val="center"/>
        <w:rPr>
          <w:b/>
          <w:bCs/>
          <w:iCs/>
          <w:color w:val="0000FF"/>
          <w:sz w:val="20"/>
          <w:szCs w:val="20"/>
        </w:rPr>
      </w:pPr>
    </w:p>
    <w:p w14:paraId="70B87BB5" w14:textId="77777777" w:rsidR="0015670D" w:rsidRDefault="0015670D" w:rsidP="00FC4284">
      <w:pPr>
        <w:spacing w:before="120" w:after="120" w:line="400" w:lineRule="exact"/>
        <w:jc w:val="center"/>
        <w:rPr>
          <w:b/>
          <w:bCs/>
          <w:iCs/>
          <w:color w:val="0000FF"/>
          <w:sz w:val="32"/>
          <w:szCs w:val="20"/>
        </w:rPr>
      </w:pPr>
    </w:p>
    <w:p w14:paraId="706EB28E" w14:textId="77777777" w:rsidR="00D66C78" w:rsidRDefault="00D66C78" w:rsidP="00FC4284">
      <w:pPr>
        <w:spacing w:before="120" w:after="120" w:line="400" w:lineRule="exact"/>
        <w:jc w:val="center"/>
        <w:rPr>
          <w:b/>
          <w:bCs/>
          <w:iCs/>
          <w:color w:val="0000FF"/>
          <w:sz w:val="32"/>
          <w:szCs w:val="20"/>
        </w:rPr>
      </w:pPr>
    </w:p>
    <w:tbl>
      <w:tblPr>
        <w:tblW w:w="9807" w:type="dxa"/>
        <w:jc w:val="center"/>
        <w:tblInd w:w="-1573" w:type="dxa"/>
        <w:tblLook w:val="04A0" w:firstRow="1" w:lastRow="0" w:firstColumn="1" w:lastColumn="0" w:noHBand="0" w:noVBand="1"/>
      </w:tblPr>
      <w:tblGrid>
        <w:gridCol w:w="3570"/>
        <w:gridCol w:w="6237"/>
      </w:tblGrid>
      <w:tr w:rsidR="00B305A6" w:rsidRPr="00E27F0A" w14:paraId="3D09CF0C" w14:textId="77777777">
        <w:trPr>
          <w:jc w:val="center"/>
        </w:trPr>
        <w:tc>
          <w:tcPr>
            <w:tcW w:w="3570" w:type="dxa"/>
          </w:tcPr>
          <w:p w14:paraId="61C4EFB0" w14:textId="77777777" w:rsidR="00B305A6" w:rsidRPr="00223C9A" w:rsidRDefault="0061072E" w:rsidP="00360A88">
            <w:pPr>
              <w:jc w:val="center"/>
              <w:rPr>
                <w:b/>
                <w:sz w:val="28"/>
                <w:szCs w:val="28"/>
              </w:rPr>
            </w:pPr>
            <w:r>
              <w:rPr>
                <w:b/>
                <w:sz w:val="28"/>
                <w:szCs w:val="28"/>
              </w:rPr>
              <w:lastRenderedPageBreak/>
              <w:tab/>
            </w:r>
            <w:r w:rsidR="00B305A6" w:rsidRPr="00223C9A">
              <w:rPr>
                <w:b/>
                <w:sz w:val="28"/>
                <w:szCs w:val="28"/>
              </w:rPr>
              <w:t>BỘ Y TẾ</w:t>
            </w:r>
          </w:p>
          <w:p w14:paraId="5B2C27C0" w14:textId="72416499" w:rsidR="00B305A6" w:rsidRDefault="00523BBA" w:rsidP="00360A88">
            <w:pPr>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14:anchorId="62531B51" wp14:editId="6D626173">
                      <wp:simplePos x="0" y="0"/>
                      <wp:positionH relativeFrom="column">
                        <wp:posOffset>998855</wp:posOffset>
                      </wp:positionH>
                      <wp:positionV relativeFrom="paragraph">
                        <wp:posOffset>5080</wp:posOffset>
                      </wp:positionV>
                      <wp:extent cx="638175" cy="0"/>
                      <wp:effectExtent l="8255" t="5080" r="1079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8.65pt;margin-top:.4pt;width: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x8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"/>
                  </w:pict>
                </mc:Fallback>
              </mc:AlternateContent>
            </w:r>
          </w:p>
          <w:p w14:paraId="47FDD168" w14:textId="77777777" w:rsidR="00B305A6" w:rsidRDefault="00B305A6" w:rsidP="00360A88">
            <w:pPr>
              <w:jc w:val="center"/>
              <w:rPr>
                <w:sz w:val="28"/>
                <w:szCs w:val="28"/>
              </w:rPr>
            </w:pPr>
          </w:p>
          <w:p w14:paraId="6F5768C2" w14:textId="77777777" w:rsidR="00B305A6" w:rsidRPr="00223C9A" w:rsidRDefault="00B305A6" w:rsidP="00360A88">
            <w:pPr>
              <w:jc w:val="center"/>
              <w:rPr>
                <w:sz w:val="26"/>
                <w:szCs w:val="26"/>
              </w:rPr>
            </w:pPr>
            <w:r w:rsidRPr="00303DF3">
              <w:rPr>
                <w:sz w:val="26"/>
                <w:szCs w:val="26"/>
              </w:rPr>
              <w:t>Số:          /</w:t>
            </w:r>
            <w:r>
              <w:rPr>
                <w:sz w:val="26"/>
                <w:szCs w:val="26"/>
              </w:rPr>
              <w:t>BC</w:t>
            </w:r>
            <w:r w:rsidRPr="00303DF3">
              <w:rPr>
                <w:sz w:val="26"/>
                <w:szCs w:val="26"/>
              </w:rPr>
              <w:t>-</w:t>
            </w:r>
            <w:r w:rsidR="00D647F5">
              <w:rPr>
                <w:sz w:val="26"/>
                <w:szCs w:val="26"/>
              </w:rPr>
              <w:t>BYT</w:t>
            </w:r>
          </w:p>
        </w:tc>
        <w:tc>
          <w:tcPr>
            <w:tcW w:w="6237" w:type="dxa"/>
          </w:tcPr>
          <w:p w14:paraId="075ABC7D" w14:textId="77777777" w:rsidR="00B305A6" w:rsidRPr="00223C9A" w:rsidRDefault="00B305A6" w:rsidP="00360A88">
            <w:pPr>
              <w:jc w:val="center"/>
              <w:rPr>
                <w:b/>
                <w:sz w:val="28"/>
                <w:szCs w:val="28"/>
              </w:rPr>
            </w:pPr>
            <w:r w:rsidRPr="00223C9A">
              <w:rPr>
                <w:b/>
                <w:sz w:val="28"/>
                <w:szCs w:val="28"/>
              </w:rPr>
              <w:t>CỘNG HÒA XÃ HỘI CHỦ NGHĨA VIỆT NAM</w:t>
            </w:r>
          </w:p>
          <w:p w14:paraId="3EFDAB00" w14:textId="77777777" w:rsidR="00B305A6" w:rsidRPr="00223C9A" w:rsidRDefault="00B305A6" w:rsidP="00360A88">
            <w:pPr>
              <w:jc w:val="center"/>
              <w:rPr>
                <w:b/>
                <w:bCs/>
                <w:sz w:val="28"/>
                <w:szCs w:val="28"/>
                <w:lang w:val="pt-BR"/>
              </w:rPr>
            </w:pPr>
            <w:r w:rsidRPr="00223C9A">
              <w:rPr>
                <w:b/>
                <w:bCs/>
                <w:sz w:val="28"/>
                <w:szCs w:val="28"/>
                <w:lang w:val="pt-BR"/>
              </w:rPr>
              <w:t>Độc lập - Tự do - Hạnh phúc</w:t>
            </w:r>
          </w:p>
          <w:p w14:paraId="2496038E" w14:textId="4D3797A5" w:rsidR="00B305A6" w:rsidRPr="00E27F0A" w:rsidRDefault="00523BBA" w:rsidP="00360A88">
            <w:pPr>
              <w:jc w:val="center"/>
              <w:rPr>
                <w:sz w:val="28"/>
                <w:szCs w:val="28"/>
              </w:rPr>
            </w:pPr>
            <w:r>
              <w:rPr>
                <w:b/>
                <w:noProof/>
                <w:sz w:val="28"/>
                <w:szCs w:val="28"/>
              </w:rPr>
              <mc:AlternateContent>
                <mc:Choice Requires="wps">
                  <w:drawing>
                    <wp:anchor distT="0" distB="0" distL="114300" distR="114300" simplePos="0" relativeHeight="251657216" behindDoc="0" locked="0" layoutInCell="1" allowOverlap="1" wp14:anchorId="294BE96A" wp14:editId="78115D5C">
                      <wp:simplePos x="0" y="0"/>
                      <wp:positionH relativeFrom="column">
                        <wp:posOffset>836295</wp:posOffset>
                      </wp:positionH>
                      <wp:positionV relativeFrom="paragraph">
                        <wp:posOffset>41910</wp:posOffset>
                      </wp:positionV>
                      <wp:extent cx="2085975" cy="0"/>
                      <wp:effectExtent l="7620" t="13335" r="11430"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5.85pt;margin-top:3.3pt;width:16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lDGwIAADsEAAAOAAAAZHJzL2Uyb0RvYy54bWysU82O2jAQvlfqO1i+QxLIbi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" strokeweight=".25pt"/>
                  </w:pict>
                </mc:Fallback>
              </mc:AlternateContent>
            </w:r>
          </w:p>
          <w:p w14:paraId="2A132F49" w14:textId="77777777" w:rsidR="00B305A6" w:rsidRPr="00303DF3" w:rsidRDefault="0029436B" w:rsidP="00360A88">
            <w:pPr>
              <w:jc w:val="center"/>
              <w:rPr>
                <w:i/>
                <w:sz w:val="26"/>
                <w:szCs w:val="26"/>
              </w:rPr>
            </w:pPr>
            <w:r>
              <w:rPr>
                <w:i/>
                <w:sz w:val="26"/>
                <w:szCs w:val="26"/>
              </w:rPr>
              <w:t xml:space="preserve">Hà Nội, ngày     tháng 11 </w:t>
            </w:r>
            <w:r w:rsidR="00B305A6" w:rsidRPr="00303DF3">
              <w:rPr>
                <w:i/>
                <w:sz w:val="26"/>
                <w:szCs w:val="26"/>
              </w:rPr>
              <w:t>năm 201</w:t>
            </w:r>
            <w:r>
              <w:rPr>
                <w:i/>
                <w:sz w:val="26"/>
                <w:szCs w:val="26"/>
              </w:rPr>
              <w:t>5</w:t>
            </w:r>
          </w:p>
        </w:tc>
      </w:tr>
    </w:tbl>
    <w:p w14:paraId="3C58DCCC" w14:textId="77777777" w:rsidR="00223C9A" w:rsidRDefault="00223C9A" w:rsidP="00360A88">
      <w:pPr>
        <w:jc w:val="center"/>
        <w:rPr>
          <w:b/>
          <w:sz w:val="28"/>
          <w:szCs w:val="28"/>
        </w:rPr>
      </w:pPr>
    </w:p>
    <w:p w14:paraId="381B44FE" w14:textId="77777777" w:rsidR="00DF633B" w:rsidRDefault="00B305A6" w:rsidP="00360A88">
      <w:pPr>
        <w:jc w:val="center"/>
        <w:rPr>
          <w:b/>
          <w:sz w:val="28"/>
          <w:szCs w:val="28"/>
        </w:rPr>
      </w:pPr>
      <w:r w:rsidRPr="00FD7489">
        <w:rPr>
          <w:b/>
          <w:sz w:val="28"/>
          <w:szCs w:val="28"/>
        </w:rPr>
        <w:t>BÁO CÁO</w:t>
      </w:r>
    </w:p>
    <w:p w14:paraId="093297AC" w14:textId="77777777" w:rsidR="00436300" w:rsidRDefault="00436300" w:rsidP="00360A88">
      <w:pPr>
        <w:jc w:val="center"/>
        <w:rPr>
          <w:b/>
          <w:sz w:val="28"/>
          <w:szCs w:val="28"/>
        </w:rPr>
      </w:pPr>
      <w:r>
        <w:rPr>
          <w:b/>
          <w:sz w:val="28"/>
          <w:szCs w:val="28"/>
        </w:rPr>
        <w:t>Đ</w:t>
      </w:r>
      <w:r w:rsidR="00DF633B" w:rsidRPr="00DF633B">
        <w:rPr>
          <w:b/>
          <w:sz w:val="28"/>
          <w:szCs w:val="28"/>
        </w:rPr>
        <w:t xml:space="preserve">ánh giá việc thực hiện các quy định của pháp luật về </w:t>
      </w:r>
      <w:r w:rsidR="0029436B">
        <w:rPr>
          <w:b/>
          <w:sz w:val="28"/>
          <w:szCs w:val="28"/>
        </w:rPr>
        <w:t xml:space="preserve">triển khai </w:t>
      </w:r>
    </w:p>
    <w:p w14:paraId="74F15B53" w14:textId="77777777" w:rsidR="000D60E9" w:rsidRDefault="0029436B" w:rsidP="00360A88">
      <w:pPr>
        <w:jc w:val="center"/>
        <w:rPr>
          <w:b/>
          <w:sz w:val="28"/>
          <w:szCs w:val="28"/>
        </w:rPr>
      </w:pPr>
      <w:r>
        <w:rPr>
          <w:b/>
          <w:sz w:val="28"/>
          <w:szCs w:val="28"/>
        </w:rPr>
        <w:t>hoạt động tiêm chủng</w:t>
      </w:r>
    </w:p>
    <w:p w14:paraId="6A49880B" w14:textId="41513A80" w:rsidR="00223C9A" w:rsidRDefault="00523BBA" w:rsidP="00360A88">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60464C11" wp14:editId="243FDEC0">
                <wp:simplePos x="0" y="0"/>
                <wp:positionH relativeFrom="column">
                  <wp:posOffset>2196465</wp:posOffset>
                </wp:positionH>
                <wp:positionV relativeFrom="paragraph">
                  <wp:posOffset>27305</wp:posOffset>
                </wp:positionV>
                <wp:extent cx="1333500" cy="0"/>
                <wp:effectExtent l="5715" t="8255" r="1333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72.95pt;margin-top:2.15pt;width: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So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"/>
            </w:pict>
          </mc:Fallback>
        </mc:AlternateContent>
      </w:r>
    </w:p>
    <w:p w14:paraId="21F508CE" w14:textId="77777777" w:rsidR="003C4E88" w:rsidRDefault="003C4E88" w:rsidP="00360A88">
      <w:pPr>
        <w:jc w:val="center"/>
        <w:rPr>
          <w:color w:val="000000"/>
          <w:sz w:val="28"/>
          <w:szCs w:val="28"/>
        </w:rPr>
      </w:pPr>
      <w:r w:rsidRPr="003C4E88">
        <w:rPr>
          <w:color w:val="000000"/>
          <w:sz w:val="28"/>
          <w:szCs w:val="28"/>
        </w:rPr>
        <w:t>Kính gửi: Thủ tướng Chính phủ</w:t>
      </w:r>
    </w:p>
    <w:p w14:paraId="505F9583" w14:textId="77777777" w:rsidR="00223C9A" w:rsidRPr="003C4E88" w:rsidRDefault="00223C9A" w:rsidP="00360A88">
      <w:pPr>
        <w:jc w:val="center"/>
        <w:rPr>
          <w:color w:val="000000"/>
          <w:sz w:val="28"/>
          <w:szCs w:val="28"/>
        </w:rPr>
      </w:pPr>
    </w:p>
    <w:p w14:paraId="7DF791C9" w14:textId="77777777" w:rsidR="00A53A79" w:rsidRDefault="000D60E9" w:rsidP="00360A88">
      <w:pPr>
        <w:jc w:val="both"/>
        <w:rPr>
          <w:b/>
          <w:sz w:val="28"/>
          <w:szCs w:val="28"/>
        </w:rPr>
      </w:pPr>
      <w:r>
        <w:rPr>
          <w:b/>
          <w:sz w:val="28"/>
          <w:szCs w:val="28"/>
        </w:rPr>
        <w:tab/>
      </w:r>
      <w:r w:rsidR="003C0F0B" w:rsidRPr="009B7B1D">
        <w:rPr>
          <w:b/>
          <w:sz w:val="28"/>
          <w:szCs w:val="28"/>
        </w:rPr>
        <w:t xml:space="preserve">I. </w:t>
      </w:r>
      <w:r w:rsidR="00A53A79" w:rsidRPr="009B7B1D">
        <w:rPr>
          <w:b/>
          <w:sz w:val="28"/>
          <w:szCs w:val="28"/>
        </w:rPr>
        <w:t>ĐẶT VẤN ĐỀ</w:t>
      </w:r>
    </w:p>
    <w:p w14:paraId="1DA0CC00" w14:textId="77777777" w:rsidR="00602CBE" w:rsidRPr="00602CBE" w:rsidRDefault="00602CBE" w:rsidP="00A43662">
      <w:pPr>
        <w:spacing w:before="120"/>
        <w:jc w:val="both"/>
        <w:rPr>
          <w:sz w:val="28"/>
          <w:szCs w:val="28"/>
        </w:rPr>
      </w:pPr>
      <w:r w:rsidRPr="00602CBE">
        <w:rPr>
          <w:sz w:val="28"/>
          <w:szCs w:val="28"/>
        </w:rPr>
        <w:t>         </w:t>
      </w:r>
      <w:r w:rsidRPr="00602CBE">
        <w:rPr>
          <w:iCs/>
          <w:sz w:val="28"/>
          <w:szCs w:val="28"/>
        </w:rPr>
        <w:t> </w:t>
      </w:r>
      <w:r w:rsidR="008138FF">
        <w:rPr>
          <w:color w:val="000000"/>
          <w:sz w:val="28"/>
          <w:szCs w:val="28"/>
        </w:rPr>
        <w:t xml:space="preserve">Sử dụng vắc xin là </w:t>
      </w:r>
      <w:r w:rsidR="008138FF" w:rsidRPr="00602CBE">
        <w:rPr>
          <w:color w:val="000000"/>
          <w:sz w:val="28"/>
          <w:szCs w:val="28"/>
        </w:rPr>
        <w:t>một biện pháp hiệu quả để</w:t>
      </w:r>
      <w:r w:rsidR="008138FF">
        <w:rPr>
          <w:color w:val="000000"/>
          <w:sz w:val="28"/>
          <w:szCs w:val="28"/>
        </w:rPr>
        <w:t xml:space="preserve"> phòng chống các bệnh truyền nhiễm và nâng cao sức khoẻ cho nhiều thế hệ trẻ em, </w:t>
      </w:r>
      <w:r w:rsidR="008138FF">
        <w:rPr>
          <w:iCs/>
          <w:color w:val="000000"/>
          <w:sz w:val="28"/>
          <w:szCs w:val="28"/>
        </w:rPr>
        <w:t>v</w:t>
      </w:r>
      <w:r w:rsidRPr="00602CBE">
        <w:rPr>
          <w:iCs/>
          <w:color w:val="000000"/>
          <w:sz w:val="28"/>
          <w:szCs w:val="28"/>
        </w:rPr>
        <w:t xml:space="preserve">ới sự phát </w:t>
      </w:r>
      <w:r>
        <w:rPr>
          <w:iCs/>
          <w:color w:val="000000"/>
          <w:sz w:val="28"/>
          <w:szCs w:val="28"/>
        </w:rPr>
        <w:t>triển của nền công nghiệp vắc xin</w:t>
      </w:r>
      <w:r w:rsidRPr="00602CBE">
        <w:rPr>
          <w:iCs/>
          <w:color w:val="000000"/>
          <w:sz w:val="28"/>
          <w:szCs w:val="28"/>
        </w:rPr>
        <w:t xml:space="preserve"> và sự triển khai rộng rãi hoạt động tiêm chủng</w:t>
      </w:r>
      <w:r w:rsidR="008138FF">
        <w:rPr>
          <w:iCs/>
          <w:color w:val="000000"/>
          <w:sz w:val="28"/>
          <w:szCs w:val="28"/>
        </w:rPr>
        <w:t xml:space="preserve"> đã </w:t>
      </w:r>
      <w:r w:rsidRPr="00602CBE">
        <w:rPr>
          <w:iCs/>
          <w:color w:val="000000"/>
          <w:sz w:val="28"/>
          <w:szCs w:val="28"/>
        </w:rPr>
        <w:t>làm thay đổi rất nhiều mô hình bệnh tật trên thế giới.</w:t>
      </w:r>
      <w:r w:rsidRPr="00602CBE">
        <w:rPr>
          <w:sz w:val="28"/>
          <w:szCs w:val="28"/>
        </w:rPr>
        <w:t xml:space="preserve"> </w:t>
      </w:r>
      <w:r w:rsidR="008138FF">
        <w:rPr>
          <w:color w:val="000000"/>
          <w:sz w:val="28"/>
          <w:szCs w:val="28"/>
        </w:rPr>
        <w:t>Tiêm chủng</w:t>
      </w:r>
      <w:r w:rsidRPr="00602CBE">
        <w:rPr>
          <w:color w:val="000000"/>
          <w:sz w:val="28"/>
          <w:szCs w:val="28"/>
        </w:rPr>
        <w:t xml:space="preserve"> đã trở thành chính sách trung tâm trong các nỗ lực về y tế công cộng trên toàn thế giới.</w:t>
      </w:r>
      <w:r w:rsidR="00D87BDE">
        <w:rPr>
          <w:color w:val="000000"/>
          <w:sz w:val="28"/>
          <w:szCs w:val="28"/>
        </w:rPr>
        <w:t xml:space="preserve"> </w:t>
      </w:r>
      <w:r>
        <w:rPr>
          <w:color w:val="000000"/>
          <w:sz w:val="28"/>
          <w:szCs w:val="28"/>
        </w:rPr>
        <w:t>Tổ chức Y tế t</w:t>
      </w:r>
      <w:r w:rsidRPr="00602CBE">
        <w:rPr>
          <w:color w:val="000000"/>
          <w:sz w:val="28"/>
          <w:szCs w:val="28"/>
        </w:rPr>
        <w:t xml:space="preserve">hế </w:t>
      </w:r>
      <w:r>
        <w:rPr>
          <w:color w:val="000000"/>
          <w:sz w:val="28"/>
          <w:szCs w:val="28"/>
        </w:rPr>
        <w:t xml:space="preserve">giới </w:t>
      </w:r>
      <w:r w:rsidRPr="00602CBE">
        <w:rPr>
          <w:color w:val="000000"/>
          <w:sz w:val="28"/>
          <w:szCs w:val="28"/>
        </w:rPr>
        <w:t>(WHO) giới ước tính rằng việc thanh toán bệnh bại liệt đã giúp cho chính phủ của các quốc gia tiết kiệm được 1,5 tỷ USD mỗi năm cho việc chi p</w:t>
      </w:r>
      <w:r>
        <w:rPr>
          <w:color w:val="000000"/>
          <w:sz w:val="28"/>
          <w:szCs w:val="28"/>
        </w:rPr>
        <w:t>hí vắc xin</w:t>
      </w:r>
      <w:r w:rsidRPr="00602CBE">
        <w:rPr>
          <w:color w:val="000000"/>
          <w:sz w:val="28"/>
          <w:szCs w:val="28"/>
        </w:rPr>
        <w:t>, điều trị và phục hồi chức năng.</w:t>
      </w:r>
    </w:p>
    <w:p w14:paraId="3CBED8C4" w14:textId="07DFEC85" w:rsidR="00A53A79" w:rsidRPr="009B7B1D" w:rsidRDefault="007B5E35" w:rsidP="00670C10">
      <w:pPr>
        <w:spacing w:before="120" w:after="120"/>
        <w:ind w:firstLine="720"/>
        <w:jc w:val="both"/>
        <w:rPr>
          <w:sz w:val="28"/>
          <w:szCs w:val="28"/>
        </w:rPr>
      </w:pPr>
      <w:r>
        <w:rPr>
          <w:color w:val="000000"/>
          <w:sz w:val="28"/>
          <w:szCs w:val="28"/>
        </w:rPr>
        <w:t>Tại Việt Nam</w:t>
      </w:r>
      <w:r w:rsidR="00602CBE" w:rsidRPr="00602CBE">
        <w:rPr>
          <w:color w:val="000000"/>
          <w:sz w:val="28"/>
          <w:szCs w:val="28"/>
        </w:rPr>
        <w:t xml:space="preserve">, Chương trình TCMR đã được triển khai ở tất cả các vùng miền trên cả nước với nhiều loại </w:t>
      </w:r>
      <w:r w:rsidR="00602CBE">
        <w:rPr>
          <w:color w:val="000000"/>
          <w:sz w:val="28"/>
          <w:szCs w:val="28"/>
        </w:rPr>
        <w:t>vắc xin</w:t>
      </w:r>
      <w:r w:rsidR="00602CBE" w:rsidRPr="00602CBE">
        <w:rPr>
          <w:color w:val="000000"/>
          <w:sz w:val="28"/>
          <w:szCs w:val="28"/>
        </w:rPr>
        <w:t xml:space="preserve"> khác nhau,</w:t>
      </w:r>
      <w:r>
        <w:rPr>
          <w:color w:val="000000"/>
          <w:sz w:val="28"/>
          <w:szCs w:val="28"/>
        </w:rPr>
        <w:t xml:space="preserve"> đến nay đã có 12 bệnh truyền nhiễm có vắc xin dự phòng được đưa vào tiêm chủng mở rộng bao gồm Lao,</w:t>
      </w:r>
      <w:r>
        <w:rPr>
          <w:rFonts w:ascii="Damascus" w:hAnsi="Damascus" w:cs="Damascus"/>
          <w:color w:val="000000"/>
          <w:sz w:val="28"/>
          <w:szCs w:val="28"/>
        </w:rPr>
        <w:t xml:space="preserve"> </w:t>
      </w:r>
      <w:r>
        <w:rPr>
          <w:color w:val="000000"/>
          <w:sz w:val="28"/>
          <w:szCs w:val="28"/>
        </w:rPr>
        <w:t>Bạch hầu,</w:t>
      </w:r>
      <w:r>
        <w:rPr>
          <w:rFonts w:ascii="Damascus" w:hAnsi="Damascus" w:cs="Damascus"/>
          <w:color w:val="000000"/>
          <w:sz w:val="28"/>
          <w:szCs w:val="28"/>
        </w:rPr>
        <w:t xml:space="preserve"> </w:t>
      </w:r>
      <w:r>
        <w:rPr>
          <w:color w:val="000000"/>
          <w:sz w:val="28"/>
          <w:szCs w:val="28"/>
        </w:rPr>
        <w:t>Ho gà, Uốn ván,</w:t>
      </w:r>
      <w:r>
        <w:rPr>
          <w:rFonts w:ascii="Damascus" w:hAnsi="Damascus" w:cs="Damascus"/>
          <w:color w:val="000000"/>
          <w:sz w:val="28"/>
          <w:szCs w:val="28"/>
        </w:rPr>
        <w:t xml:space="preserve"> </w:t>
      </w:r>
      <w:r>
        <w:rPr>
          <w:color w:val="000000"/>
          <w:sz w:val="28"/>
          <w:szCs w:val="28"/>
        </w:rPr>
        <w:t>Bại liệt,</w:t>
      </w:r>
      <w:r>
        <w:rPr>
          <w:rFonts w:ascii="Damascus" w:hAnsi="Damascus" w:cs="Damascus"/>
          <w:color w:val="000000"/>
          <w:sz w:val="28"/>
          <w:szCs w:val="28"/>
        </w:rPr>
        <w:t xml:space="preserve"> </w:t>
      </w:r>
      <w:r>
        <w:rPr>
          <w:color w:val="000000"/>
          <w:sz w:val="28"/>
          <w:szCs w:val="28"/>
        </w:rPr>
        <w:t>Viêm gan B, Sởi,</w:t>
      </w:r>
      <w:r>
        <w:rPr>
          <w:rFonts w:ascii="Damascus" w:hAnsi="Damascus" w:cs="Damascus"/>
          <w:color w:val="000000"/>
          <w:sz w:val="28"/>
          <w:szCs w:val="28"/>
        </w:rPr>
        <w:t xml:space="preserve"> </w:t>
      </w:r>
      <w:r>
        <w:rPr>
          <w:color w:val="000000"/>
          <w:sz w:val="28"/>
          <w:szCs w:val="28"/>
        </w:rPr>
        <w:t>Thương hàn,</w:t>
      </w:r>
      <w:r>
        <w:rPr>
          <w:rFonts w:ascii="Damascus" w:hAnsi="Damascus" w:cs="Damascus"/>
          <w:color w:val="000000"/>
          <w:sz w:val="28"/>
          <w:szCs w:val="28"/>
        </w:rPr>
        <w:t xml:space="preserve"> </w:t>
      </w:r>
      <w:r>
        <w:rPr>
          <w:color w:val="000000"/>
          <w:sz w:val="28"/>
          <w:szCs w:val="28"/>
        </w:rPr>
        <w:t>Tả, Rubella, Viêm não Nhật Bản B và Hib, trung bình</w:t>
      </w:r>
      <w:r w:rsidR="00602CBE" w:rsidRPr="00602CBE">
        <w:rPr>
          <w:color w:val="000000"/>
          <w:sz w:val="28"/>
          <w:szCs w:val="28"/>
        </w:rPr>
        <w:t xml:space="preserve"> mỗi năm có 1,5 triệu trẻ em dưới 1 tuổi được tiêm chủng đầy đủ </w:t>
      </w:r>
      <w:r w:rsidR="00670C10">
        <w:rPr>
          <w:color w:val="000000"/>
          <w:sz w:val="28"/>
          <w:szCs w:val="28"/>
        </w:rPr>
        <w:t>các</w:t>
      </w:r>
      <w:r w:rsidR="00602CBE" w:rsidRPr="00602CBE">
        <w:rPr>
          <w:color w:val="000000"/>
          <w:sz w:val="28"/>
          <w:szCs w:val="28"/>
        </w:rPr>
        <w:t xml:space="preserve"> loại </w:t>
      </w:r>
      <w:r w:rsidR="00602CBE">
        <w:rPr>
          <w:color w:val="000000"/>
          <w:sz w:val="28"/>
          <w:szCs w:val="28"/>
        </w:rPr>
        <w:t>vắc xin</w:t>
      </w:r>
      <w:r w:rsidR="00602CBE" w:rsidRPr="00602CBE">
        <w:rPr>
          <w:color w:val="000000"/>
          <w:sz w:val="28"/>
          <w:szCs w:val="28"/>
        </w:rPr>
        <w:t xml:space="preserve">, đã và đang tạo ra một cộng đồng được bảo vệ khỏi nhiều bệnh nguy hiểm. </w:t>
      </w:r>
      <w:r w:rsidR="008C277A" w:rsidRPr="009B7B1D">
        <w:rPr>
          <w:sz w:val="28"/>
          <w:szCs w:val="28"/>
        </w:rPr>
        <w:t xml:space="preserve">Sau </w:t>
      </w:r>
      <w:r w:rsidR="00602CBE">
        <w:rPr>
          <w:sz w:val="28"/>
          <w:szCs w:val="28"/>
        </w:rPr>
        <w:t>hơn 30 năm triển khai thực hiện công tác tiêm chủng</w:t>
      </w:r>
      <w:r w:rsidR="008C277A" w:rsidRPr="009B7B1D">
        <w:rPr>
          <w:sz w:val="28"/>
          <w:szCs w:val="28"/>
        </w:rPr>
        <w:t xml:space="preserve"> </w:t>
      </w:r>
      <w:r w:rsidR="00F46737">
        <w:rPr>
          <w:sz w:val="28"/>
          <w:szCs w:val="28"/>
        </w:rPr>
        <w:t xml:space="preserve">mở rộng </w:t>
      </w:r>
      <w:r w:rsidR="00A00D00" w:rsidRPr="009B7B1D">
        <w:rPr>
          <w:sz w:val="28"/>
          <w:szCs w:val="28"/>
        </w:rPr>
        <w:t>việc đánh giá các quy</w:t>
      </w:r>
      <w:r w:rsidR="00BF5AD9" w:rsidRPr="009B7B1D">
        <w:rPr>
          <w:sz w:val="28"/>
          <w:szCs w:val="28"/>
        </w:rPr>
        <w:t xml:space="preserve"> định của pháp luật hiện hành về hoạt động này là hết sức cần thiết để kịp thời có những đề xuất nhằm xây dựng</w:t>
      </w:r>
      <w:r w:rsidR="00145A13" w:rsidRPr="009B7B1D">
        <w:rPr>
          <w:sz w:val="28"/>
          <w:szCs w:val="28"/>
        </w:rPr>
        <w:t xml:space="preserve"> Nghị định</w:t>
      </w:r>
      <w:r w:rsidR="004A188F" w:rsidRPr="009B7B1D">
        <w:rPr>
          <w:sz w:val="28"/>
          <w:szCs w:val="28"/>
        </w:rPr>
        <w:t xml:space="preserve"> của Chính phủ</w:t>
      </w:r>
      <w:r w:rsidR="00145A13" w:rsidRPr="009B7B1D">
        <w:rPr>
          <w:sz w:val="28"/>
          <w:szCs w:val="28"/>
        </w:rPr>
        <w:t xml:space="preserve"> </w:t>
      </w:r>
      <w:r w:rsidR="00602CBE">
        <w:rPr>
          <w:sz w:val="28"/>
          <w:szCs w:val="28"/>
        </w:rPr>
        <w:t>quy định về hoạt động tiêm chủng</w:t>
      </w:r>
      <w:r w:rsidR="00145A13" w:rsidRPr="009B7B1D">
        <w:rPr>
          <w:sz w:val="28"/>
          <w:szCs w:val="28"/>
        </w:rPr>
        <w:t xml:space="preserve"> trong thời gian tới</w:t>
      </w:r>
      <w:r w:rsidR="004A188F" w:rsidRPr="009B7B1D">
        <w:rPr>
          <w:sz w:val="28"/>
          <w:szCs w:val="28"/>
        </w:rPr>
        <w:t>.</w:t>
      </w:r>
    </w:p>
    <w:p w14:paraId="008EBCF6" w14:textId="77777777" w:rsidR="0070457C" w:rsidRPr="009B7B1D" w:rsidRDefault="00795FDD" w:rsidP="00223C9A">
      <w:pPr>
        <w:spacing w:before="120" w:after="120"/>
        <w:jc w:val="both"/>
        <w:rPr>
          <w:b/>
          <w:sz w:val="28"/>
          <w:szCs w:val="28"/>
        </w:rPr>
      </w:pPr>
      <w:r w:rsidRPr="009B7B1D">
        <w:rPr>
          <w:b/>
          <w:sz w:val="28"/>
          <w:szCs w:val="28"/>
        </w:rPr>
        <w:tab/>
      </w:r>
      <w:r w:rsidR="00AE37E9" w:rsidRPr="009B7B1D">
        <w:rPr>
          <w:b/>
          <w:sz w:val="28"/>
          <w:szCs w:val="28"/>
        </w:rPr>
        <w:t xml:space="preserve">II. </w:t>
      </w:r>
      <w:r w:rsidR="00592829">
        <w:rPr>
          <w:b/>
          <w:sz w:val="28"/>
          <w:szCs w:val="28"/>
        </w:rPr>
        <w:t>ĐÁNH GIÁ TÌNH HÌNH</w:t>
      </w:r>
      <w:r w:rsidR="004011A0">
        <w:rPr>
          <w:b/>
          <w:sz w:val="28"/>
          <w:szCs w:val="28"/>
        </w:rPr>
        <w:t xml:space="preserve"> TRIỂN KHAI THỰC HIỆN HOẠT ĐỘNG </w:t>
      </w:r>
      <w:r w:rsidR="0029436B">
        <w:rPr>
          <w:b/>
          <w:sz w:val="28"/>
          <w:szCs w:val="28"/>
        </w:rPr>
        <w:t xml:space="preserve">TIÊM CHỦNG </w:t>
      </w:r>
      <w:r w:rsidR="009F4847" w:rsidRPr="009B7B1D">
        <w:rPr>
          <w:b/>
          <w:sz w:val="28"/>
          <w:szCs w:val="28"/>
        </w:rPr>
        <w:t xml:space="preserve">TỪ NĂM </w:t>
      </w:r>
      <w:r w:rsidR="0029436B">
        <w:rPr>
          <w:b/>
          <w:sz w:val="28"/>
          <w:szCs w:val="28"/>
        </w:rPr>
        <w:t>2008</w:t>
      </w:r>
      <w:r w:rsidR="00AC2BC9">
        <w:rPr>
          <w:b/>
          <w:sz w:val="28"/>
          <w:szCs w:val="28"/>
        </w:rPr>
        <w:t xml:space="preserve"> - </w:t>
      </w:r>
      <w:r w:rsidR="00D33B7F" w:rsidRPr="009B7B1D">
        <w:rPr>
          <w:b/>
          <w:sz w:val="28"/>
          <w:szCs w:val="28"/>
        </w:rPr>
        <w:t>201</w:t>
      </w:r>
      <w:r w:rsidR="0029436B">
        <w:rPr>
          <w:b/>
          <w:sz w:val="28"/>
          <w:szCs w:val="28"/>
        </w:rPr>
        <w:t>5</w:t>
      </w:r>
    </w:p>
    <w:p w14:paraId="7EF3D01A" w14:textId="77777777" w:rsidR="00F669A3" w:rsidRPr="009B7B1D" w:rsidRDefault="00795FDD" w:rsidP="00223C9A">
      <w:pPr>
        <w:spacing w:before="120" w:after="120"/>
        <w:jc w:val="both"/>
        <w:rPr>
          <w:b/>
          <w:sz w:val="28"/>
          <w:szCs w:val="28"/>
        </w:rPr>
      </w:pPr>
      <w:r w:rsidRPr="009B7B1D">
        <w:rPr>
          <w:b/>
          <w:sz w:val="28"/>
          <w:szCs w:val="28"/>
        </w:rPr>
        <w:tab/>
      </w:r>
      <w:r w:rsidR="0070457C" w:rsidRPr="009B7B1D">
        <w:rPr>
          <w:b/>
          <w:sz w:val="28"/>
          <w:szCs w:val="28"/>
        </w:rPr>
        <w:t>1. Tổng quan về h</w:t>
      </w:r>
      <w:r w:rsidR="00567B32" w:rsidRPr="009B7B1D">
        <w:rPr>
          <w:b/>
          <w:sz w:val="28"/>
          <w:szCs w:val="28"/>
        </w:rPr>
        <w:t xml:space="preserve">ệ thống </w:t>
      </w:r>
      <w:r w:rsidR="008851F9" w:rsidRPr="009B7B1D">
        <w:rPr>
          <w:b/>
          <w:sz w:val="28"/>
          <w:szCs w:val="28"/>
        </w:rPr>
        <w:t xml:space="preserve">văn bản qui phạm pháp luật </w:t>
      </w:r>
      <w:r w:rsidR="00567B32" w:rsidRPr="009B7B1D">
        <w:rPr>
          <w:b/>
          <w:sz w:val="28"/>
          <w:szCs w:val="28"/>
        </w:rPr>
        <w:t xml:space="preserve">trong việc </w:t>
      </w:r>
      <w:r w:rsidR="00F46737">
        <w:rPr>
          <w:b/>
          <w:sz w:val="28"/>
          <w:szCs w:val="28"/>
        </w:rPr>
        <w:t>triển khai hoạt động tiêm chủng</w:t>
      </w:r>
      <w:r w:rsidR="008851F9" w:rsidRPr="009B7B1D">
        <w:rPr>
          <w:b/>
          <w:sz w:val="28"/>
          <w:szCs w:val="28"/>
        </w:rPr>
        <w:t>.</w:t>
      </w:r>
    </w:p>
    <w:p w14:paraId="6A837220" w14:textId="6356B6A3" w:rsidR="006F3B8B" w:rsidRPr="009B7B1D" w:rsidRDefault="00F669A3" w:rsidP="00223C9A">
      <w:pPr>
        <w:spacing w:before="120" w:after="120"/>
        <w:jc w:val="both"/>
        <w:rPr>
          <w:sz w:val="28"/>
          <w:szCs w:val="28"/>
        </w:rPr>
      </w:pPr>
      <w:r w:rsidRPr="009B7B1D">
        <w:rPr>
          <w:b/>
          <w:sz w:val="28"/>
          <w:szCs w:val="28"/>
        </w:rPr>
        <w:tab/>
      </w:r>
      <w:r w:rsidR="00002737" w:rsidRPr="001F6CF7">
        <w:rPr>
          <w:sz w:val="28"/>
          <w:szCs w:val="28"/>
        </w:rPr>
        <w:t xml:space="preserve">Để có cơ sở trong việc </w:t>
      </w:r>
      <w:r w:rsidR="00F46737">
        <w:rPr>
          <w:sz w:val="28"/>
          <w:szCs w:val="28"/>
        </w:rPr>
        <w:t xml:space="preserve">triển khai các hoạt động tiêm chủng </w:t>
      </w:r>
      <w:r w:rsidR="00686843" w:rsidRPr="009B7B1D">
        <w:rPr>
          <w:sz w:val="28"/>
          <w:szCs w:val="28"/>
        </w:rPr>
        <w:t xml:space="preserve">Quốc </w:t>
      </w:r>
      <w:r w:rsidR="000A6EA2">
        <w:rPr>
          <w:sz w:val="28"/>
          <w:szCs w:val="28"/>
        </w:rPr>
        <w:t>h</w:t>
      </w:r>
      <w:r w:rsidR="00686843" w:rsidRPr="009B7B1D">
        <w:rPr>
          <w:sz w:val="28"/>
          <w:szCs w:val="28"/>
        </w:rPr>
        <w:t>ội đã ban hành</w:t>
      </w:r>
      <w:r w:rsidRPr="009B7B1D">
        <w:rPr>
          <w:sz w:val="28"/>
          <w:szCs w:val="28"/>
        </w:rPr>
        <w:t xml:space="preserve"> </w:t>
      </w:r>
      <w:r w:rsidR="005930A8" w:rsidRPr="009B7B1D">
        <w:rPr>
          <w:sz w:val="28"/>
          <w:szCs w:val="28"/>
        </w:rPr>
        <w:t xml:space="preserve">Luật </w:t>
      </w:r>
      <w:r w:rsidR="00F46737">
        <w:rPr>
          <w:sz w:val="28"/>
          <w:szCs w:val="28"/>
        </w:rPr>
        <w:t>Phòng, chống bệnh truyền nhiễm</w:t>
      </w:r>
      <w:r w:rsidR="00B93AD1" w:rsidRPr="009B7B1D">
        <w:rPr>
          <w:sz w:val="28"/>
          <w:szCs w:val="28"/>
        </w:rPr>
        <w:t xml:space="preserve"> đã quy định </w:t>
      </w:r>
      <w:r w:rsidR="00F46737">
        <w:rPr>
          <w:sz w:val="28"/>
          <w:szCs w:val="28"/>
        </w:rPr>
        <w:t>nguyên tắc sử dụng vắc xin, sinh phẩm y tế; việc sử dụng vắc xin, sinh phẩm y tế bắt buộc, tự nguyện; trách nhiệm trong việc tổ chức sử dụng vắc xin, sinh phẩm y tế</w:t>
      </w:r>
      <w:r w:rsidR="00B93AD1" w:rsidRPr="009B7B1D">
        <w:rPr>
          <w:sz w:val="28"/>
          <w:szCs w:val="28"/>
        </w:rPr>
        <w:t>.</w:t>
      </w:r>
    </w:p>
    <w:p w14:paraId="4FBE2498" w14:textId="77777777" w:rsidR="00C11FD8" w:rsidRDefault="006D36A0" w:rsidP="00223C9A">
      <w:pPr>
        <w:spacing w:before="120" w:after="120"/>
        <w:jc w:val="both"/>
        <w:rPr>
          <w:sz w:val="28"/>
          <w:szCs w:val="28"/>
        </w:rPr>
      </w:pPr>
      <w:r w:rsidRPr="009B7B1D">
        <w:rPr>
          <w:sz w:val="28"/>
          <w:szCs w:val="28"/>
        </w:rPr>
        <w:t xml:space="preserve"> </w:t>
      </w:r>
      <w:r w:rsidR="00E95412" w:rsidRPr="009B7B1D">
        <w:rPr>
          <w:sz w:val="28"/>
          <w:szCs w:val="28"/>
        </w:rPr>
        <w:tab/>
      </w:r>
      <w:r w:rsidR="00EF29E0" w:rsidRPr="009B7B1D">
        <w:rPr>
          <w:sz w:val="28"/>
          <w:szCs w:val="28"/>
        </w:rPr>
        <w:t xml:space="preserve">Trên cơ sở </w:t>
      </w:r>
      <w:r w:rsidR="00F46737">
        <w:rPr>
          <w:sz w:val="28"/>
          <w:szCs w:val="28"/>
        </w:rPr>
        <w:t xml:space="preserve">Luật Phòng, chống bệnh truyền nhiễm </w:t>
      </w:r>
      <w:r w:rsidR="00E164F4" w:rsidRPr="009B7B1D">
        <w:rPr>
          <w:sz w:val="28"/>
          <w:szCs w:val="28"/>
        </w:rPr>
        <w:t xml:space="preserve">Bộ </w:t>
      </w:r>
      <w:r w:rsidR="00EF29E0" w:rsidRPr="009B7B1D">
        <w:rPr>
          <w:sz w:val="28"/>
          <w:szCs w:val="28"/>
        </w:rPr>
        <w:t xml:space="preserve">trưởng Bộ </w:t>
      </w:r>
      <w:r w:rsidR="00E164F4" w:rsidRPr="009B7B1D">
        <w:rPr>
          <w:sz w:val="28"/>
          <w:szCs w:val="28"/>
        </w:rPr>
        <w:t xml:space="preserve">Y tế đã ban hành các </w:t>
      </w:r>
      <w:r w:rsidR="00F46737">
        <w:rPr>
          <w:sz w:val="28"/>
          <w:szCs w:val="28"/>
        </w:rPr>
        <w:t xml:space="preserve">Quyết định, </w:t>
      </w:r>
      <w:r w:rsidR="000F5F2A">
        <w:rPr>
          <w:sz w:val="28"/>
          <w:szCs w:val="28"/>
        </w:rPr>
        <w:t>T</w:t>
      </w:r>
      <w:r w:rsidR="00E164F4" w:rsidRPr="009B7B1D">
        <w:rPr>
          <w:sz w:val="28"/>
          <w:szCs w:val="28"/>
        </w:rPr>
        <w:t xml:space="preserve">hông tư qui định về </w:t>
      </w:r>
      <w:r w:rsidR="00C11FD8">
        <w:rPr>
          <w:sz w:val="28"/>
          <w:szCs w:val="28"/>
        </w:rPr>
        <w:t>sử dụng vắc xin, sinh phẩm y tế, cụ thể:</w:t>
      </w:r>
    </w:p>
    <w:p w14:paraId="4C8EB56F" w14:textId="77777777" w:rsidR="00B22374" w:rsidRPr="009B7B1D" w:rsidRDefault="00B22374" w:rsidP="00223C9A">
      <w:pPr>
        <w:spacing w:before="120" w:after="120"/>
        <w:jc w:val="both"/>
        <w:rPr>
          <w:sz w:val="28"/>
          <w:szCs w:val="28"/>
        </w:rPr>
      </w:pPr>
      <w:r w:rsidRPr="009B7B1D">
        <w:rPr>
          <w:sz w:val="28"/>
          <w:szCs w:val="28"/>
        </w:rPr>
        <w:lastRenderedPageBreak/>
        <w:tab/>
        <w:t xml:space="preserve">- </w:t>
      </w:r>
      <w:r w:rsidR="00C11FD8">
        <w:rPr>
          <w:sz w:val="28"/>
          <w:szCs w:val="28"/>
        </w:rPr>
        <w:t>Quyết định</w:t>
      </w:r>
      <w:r w:rsidR="003C0875" w:rsidRPr="009B7B1D">
        <w:rPr>
          <w:sz w:val="28"/>
          <w:szCs w:val="28"/>
        </w:rPr>
        <w:t xml:space="preserve"> số </w:t>
      </w:r>
      <w:r w:rsidRPr="009B7B1D">
        <w:rPr>
          <w:sz w:val="28"/>
          <w:szCs w:val="28"/>
        </w:rPr>
        <w:fldChar w:fldCharType="begin"/>
      </w:r>
      <w:r w:rsidRPr="009B7B1D">
        <w:rPr>
          <w:sz w:val="28"/>
          <w:szCs w:val="28"/>
        </w:rPr>
        <w:instrText xml:space="preserve"> HYPERLINK "http://thuvienphapluat.vn/van-ban/The-thao-Y-te/Thong-tu-14-BYT-TT-huong-dan-xet-tang-danh-hieu-thay-thuoc-nhan-dan-uu-tu-37325.aspx" </w:instrText>
      </w:r>
      <w:r w:rsidRPr="009B7B1D">
        <w:rPr>
          <w:sz w:val="28"/>
          <w:szCs w:val="28"/>
        </w:rPr>
        <w:fldChar w:fldCharType="separate"/>
      </w:r>
      <w:r w:rsidR="00C11FD8">
        <w:rPr>
          <w:sz w:val="28"/>
          <w:szCs w:val="28"/>
        </w:rPr>
        <w:t>23</w:t>
      </w:r>
      <w:r w:rsidRPr="009B7B1D">
        <w:rPr>
          <w:sz w:val="28"/>
          <w:szCs w:val="28"/>
        </w:rPr>
        <w:t>/</w:t>
      </w:r>
      <w:r w:rsidR="00C11FD8">
        <w:rPr>
          <w:sz w:val="28"/>
          <w:szCs w:val="28"/>
        </w:rPr>
        <w:t>2008/QĐ</w:t>
      </w:r>
      <w:r w:rsidRPr="009B7B1D">
        <w:rPr>
          <w:sz w:val="28"/>
          <w:szCs w:val="28"/>
        </w:rPr>
        <w:t>-BYT ngày 07/</w:t>
      </w:r>
      <w:r w:rsidR="00C11FD8">
        <w:rPr>
          <w:sz w:val="28"/>
          <w:szCs w:val="28"/>
        </w:rPr>
        <w:t>7</w:t>
      </w:r>
      <w:r w:rsidRPr="009B7B1D">
        <w:rPr>
          <w:sz w:val="28"/>
          <w:szCs w:val="28"/>
        </w:rPr>
        <w:t>/</w:t>
      </w:r>
      <w:r w:rsidR="00C11FD8">
        <w:rPr>
          <w:sz w:val="28"/>
          <w:szCs w:val="28"/>
        </w:rPr>
        <w:t>2008</w:t>
      </w:r>
      <w:r w:rsidR="00967674" w:rsidRPr="009B7B1D">
        <w:rPr>
          <w:sz w:val="28"/>
          <w:szCs w:val="28"/>
        </w:rPr>
        <w:t xml:space="preserve"> của Bộ trưởng Bộ Y tế</w:t>
      </w:r>
      <w:r w:rsidRPr="009B7B1D">
        <w:rPr>
          <w:sz w:val="28"/>
          <w:szCs w:val="28"/>
        </w:rPr>
        <w:t> </w:t>
      </w:r>
      <w:r w:rsidR="00C11FD8">
        <w:rPr>
          <w:sz w:val="28"/>
          <w:szCs w:val="28"/>
        </w:rPr>
        <w:t>về việc ban hành quy định về sử dụng vắc xin, sinh phẩm y tế trong dự phòng và điều trị</w:t>
      </w:r>
      <w:r w:rsidRPr="009B7B1D">
        <w:rPr>
          <w:sz w:val="28"/>
          <w:szCs w:val="28"/>
        </w:rPr>
        <w:t>;</w:t>
      </w:r>
    </w:p>
    <w:p w14:paraId="19D3317A" w14:textId="77777777" w:rsidR="00FD05F1" w:rsidRPr="00C11FD8" w:rsidRDefault="00B22374" w:rsidP="00223C9A">
      <w:pPr>
        <w:spacing w:before="120" w:after="120"/>
        <w:jc w:val="both"/>
        <w:rPr>
          <w:sz w:val="28"/>
          <w:szCs w:val="28"/>
        </w:rPr>
      </w:pPr>
      <w:r w:rsidRPr="009B7B1D">
        <w:rPr>
          <w:sz w:val="28"/>
          <w:szCs w:val="28"/>
        </w:rPr>
        <w:fldChar w:fldCharType="end"/>
      </w:r>
      <w:r w:rsidR="00967674" w:rsidRPr="009B7B1D">
        <w:rPr>
          <w:sz w:val="28"/>
          <w:szCs w:val="28"/>
        </w:rPr>
        <w:tab/>
      </w:r>
      <w:r w:rsidR="00967674" w:rsidRPr="00C11FD8">
        <w:rPr>
          <w:sz w:val="28"/>
          <w:szCs w:val="28"/>
        </w:rPr>
        <w:t xml:space="preserve">- </w:t>
      </w:r>
      <w:r w:rsidR="003C0875" w:rsidRPr="00C11FD8">
        <w:rPr>
          <w:sz w:val="28"/>
          <w:szCs w:val="28"/>
        </w:rPr>
        <w:t xml:space="preserve">Thông tư số </w:t>
      </w:r>
      <w:hyperlink r:id="rId8" w:history="1">
        <w:r w:rsidR="00C11FD8" w:rsidRPr="00C11FD8">
          <w:rPr>
            <w:rStyle w:val="Hyperlink"/>
            <w:color w:val="000000"/>
            <w:sz w:val="28"/>
            <w:szCs w:val="28"/>
            <w:u w:val="none"/>
            <w:shd w:val="clear" w:color="auto" w:fill="FFFFFF"/>
          </w:rPr>
          <w:t>21</w:t>
        </w:r>
        <w:r w:rsidR="00DC0DEF" w:rsidRPr="00C11FD8">
          <w:rPr>
            <w:rStyle w:val="Hyperlink"/>
            <w:color w:val="000000"/>
            <w:sz w:val="28"/>
            <w:szCs w:val="28"/>
            <w:u w:val="none"/>
            <w:shd w:val="clear" w:color="auto" w:fill="FFFFFF"/>
          </w:rPr>
          <w:t>/</w:t>
        </w:r>
        <w:r w:rsidR="00C11FD8" w:rsidRPr="00C11FD8">
          <w:rPr>
            <w:rStyle w:val="Hyperlink"/>
            <w:color w:val="000000"/>
            <w:sz w:val="28"/>
            <w:szCs w:val="28"/>
            <w:u w:val="none"/>
            <w:shd w:val="clear" w:color="auto" w:fill="FFFFFF"/>
          </w:rPr>
          <w:t>2011</w:t>
        </w:r>
        <w:r w:rsidR="00DC0DEF" w:rsidRPr="00C11FD8">
          <w:rPr>
            <w:rStyle w:val="Hyperlink"/>
            <w:color w:val="000000"/>
            <w:sz w:val="28"/>
            <w:szCs w:val="28"/>
            <w:u w:val="none"/>
            <w:shd w:val="clear" w:color="auto" w:fill="FFFFFF"/>
          </w:rPr>
          <w:t>/TT-BYT</w:t>
        </w:r>
        <w:r w:rsidR="00DC0DEF" w:rsidRPr="00C11FD8">
          <w:rPr>
            <w:rStyle w:val="Hyperlink"/>
            <w:color w:val="000000"/>
            <w:sz w:val="28"/>
            <w:szCs w:val="28"/>
            <w:u w:val="none"/>
          </w:rPr>
          <w:t> </w:t>
        </w:r>
        <w:r w:rsidR="00C11FD8" w:rsidRPr="00C11FD8">
          <w:rPr>
            <w:sz w:val="28"/>
            <w:szCs w:val="28"/>
          </w:rPr>
          <w:t>ngày 0</w:t>
        </w:r>
        <w:r w:rsidR="00967674" w:rsidRPr="00C11FD8">
          <w:rPr>
            <w:sz w:val="28"/>
            <w:szCs w:val="28"/>
          </w:rPr>
          <w:t>7</w:t>
        </w:r>
        <w:r w:rsidR="00DC0DEF" w:rsidRPr="00C11FD8">
          <w:rPr>
            <w:sz w:val="28"/>
            <w:szCs w:val="28"/>
          </w:rPr>
          <w:t>/</w:t>
        </w:r>
        <w:r w:rsidR="00C11FD8" w:rsidRPr="00C11FD8">
          <w:rPr>
            <w:sz w:val="28"/>
            <w:szCs w:val="28"/>
          </w:rPr>
          <w:t>6</w:t>
        </w:r>
        <w:r w:rsidR="00DC0DEF" w:rsidRPr="00C11FD8">
          <w:rPr>
            <w:sz w:val="28"/>
            <w:szCs w:val="28"/>
          </w:rPr>
          <w:t>/</w:t>
        </w:r>
        <w:r w:rsidR="00C11FD8" w:rsidRPr="00C11FD8">
          <w:rPr>
            <w:sz w:val="28"/>
            <w:szCs w:val="28"/>
          </w:rPr>
          <w:t>2011</w:t>
        </w:r>
        <w:r w:rsidR="00DC0DEF" w:rsidRPr="00C11FD8">
          <w:rPr>
            <w:rStyle w:val="apple-converted-space"/>
            <w:bCs/>
            <w:color w:val="000000"/>
            <w:sz w:val="28"/>
            <w:szCs w:val="28"/>
            <w:shd w:val="clear" w:color="auto" w:fill="FFFFFF"/>
          </w:rPr>
          <w:t> </w:t>
        </w:r>
        <w:r w:rsidR="00FD05F1" w:rsidRPr="00C11FD8">
          <w:rPr>
            <w:rStyle w:val="apple-converted-space"/>
            <w:bCs/>
            <w:color w:val="000000"/>
            <w:sz w:val="28"/>
            <w:szCs w:val="28"/>
            <w:shd w:val="clear" w:color="auto" w:fill="FFFFFF"/>
          </w:rPr>
          <w:t xml:space="preserve">của Bộ trưởng Bộ Y tế  </w:t>
        </w:r>
        <w:r w:rsidR="00C11FD8">
          <w:rPr>
            <w:sz w:val="28"/>
            <w:szCs w:val="28"/>
          </w:rPr>
          <w:t>q</w:t>
        </w:r>
        <w:r w:rsidR="00C11FD8" w:rsidRPr="00C11FD8">
          <w:rPr>
            <w:sz w:val="28"/>
            <w:szCs w:val="28"/>
          </w:rPr>
          <w:t>uy định việc thành lập, tổ chức và hoạt động của Hội đồng tư vấn chuyên môn đánh giá tai biến trong quá trình sử dụng vắc xin, sinh phẩm y tế</w:t>
        </w:r>
      </w:hyperlink>
      <w:r w:rsidR="00FD05F1" w:rsidRPr="00C11FD8">
        <w:rPr>
          <w:sz w:val="28"/>
          <w:szCs w:val="28"/>
        </w:rPr>
        <w:t>;</w:t>
      </w:r>
    </w:p>
    <w:p w14:paraId="561DDA1A" w14:textId="77777777" w:rsidR="00A90879" w:rsidRDefault="00A6501B" w:rsidP="00223C9A">
      <w:pPr>
        <w:spacing w:before="120" w:after="120"/>
        <w:jc w:val="both"/>
        <w:rPr>
          <w:sz w:val="28"/>
          <w:szCs w:val="28"/>
        </w:rPr>
      </w:pPr>
      <w:r w:rsidRPr="009B7B1D">
        <w:rPr>
          <w:sz w:val="28"/>
          <w:szCs w:val="28"/>
        </w:rPr>
        <w:tab/>
        <w:t xml:space="preserve">- </w:t>
      </w:r>
      <w:r w:rsidR="00C11FD8" w:rsidRPr="00C11FD8">
        <w:rPr>
          <w:sz w:val="28"/>
          <w:szCs w:val="28"/>
        </w:rPr>
        <w:t xml:space="preserve">Thông tư số </w:t>
      </w:r>
      <w:hyperlink r:id="rId9" w:history="1">
        <w:r w:rsidR="00C11FD8" w:rsidRPr="00C11FD8">
          <w:rPr>
            <w:rStyle w:val="Hyperlink"/>
            <w:color w:val="000000"/>
            <w:sz w:val="28"/>
            <w:szCs w:val="28"/>
            <w:u w:val="none"/>
            <w:shd w:val="clear" w:color="auto" w:fill="FFFFFF"/>
          </w:rPr>
          <w:t>2</w:t>
        </w:r>
        <w:r w:rsidR="00C11FD8">
          <w:rPr>
            <w:rStyle w:val="Hyperlink"/>
            <w:color w:val="000000"/>
            <w:sz w:val="28"/>
            <w:szCs w:val="28"/>
            <w:u w:val="none"/>
            <w:shd w:val="clear" w:color="auto" w:fill="FFFFFF"/>
          </w:rPr>
          <w:t>6</w:t>
        </w:r>
        <w:r w:rsidR="00C11FD8" w:rsidRPr="00C11FD8">
          <w:rPr>
            <w:rStyle w:val="Hyperlink"/>
            <w:color w:val="000000"/>
            <w:sz w:val="28"/>
            <w:szCs w:val="28"/>
            <w:u w:val="none"/>
            <w:shd w:val="clear" w:color="auto" w:fill="FFFFFF"/>
          </w:rPr>
          <w:t>/2011/TT-BYT</w:t>
        </w:r>
        <w:r w:rsidR="00C11FD8" w:rsidRPr="00C11FD8">
          <w:rPr>
            <w:rStyle w:val="Hyperlink"/>
            <w:color w:val="000000"/>
            <w:sz w:val="28"/>
            <w:szCs w:val="28"/>
            <w:u w:val="none"/>
          </w:rPr>
          <w:t> </w:t>
        </w:r>
        <w:r w:rsidR="00C11FD8" w:rsidRPr="00C11FD8">
          <w:rPr>
            <w:sz w:val="28"/>
            <w:szCs w:val="28"/>
          </w:rPr>
          <w:t xml:space="preserve">ngày </w:t>
        </w:r>
        <w:r w:rsidR="00C11FD8">
          <w:rPr>
            <w:sz w:val="28"/>
            <w:szCs w:val="28"/>
          </w:rPr>
          <w:t>24</w:t>
        </w:r>
        <w:r w:rsidR="00C11FD8" w:rsidRPr="00C11FD8">
          <w:rPr>
            <w:sz w:val="28"/>
            <w:szCs w:val="28"/>
          </w:rPr>
          <w:t>/6/2011</w:t>
        </w:r>
        <w:r w:rsidR="00C11FD8" w:rsidRPr="00C11FD8">
          <w:rPr>
            <w:rStyle w:val="apple-converted-space"/>
            <w:bCs/>
            <w:color w:val="000000"/>
            <w:sz w:val="28"/>
            <w:szCs w:val="28"/>
            <w:shd w:val="clear" w:color="auto" w:fill="FFFFFF"/>
          </w:rPr>
          <w:t xml:space="preserve"> của Bộ trưởng Bộ Y tế  </w:t>
        </w:r>
        <w:r w:rsidR="00C11FD8">
          <w:rPr>
            <w:sz w:val="28"/>
            <w:szCs w:val="28"/>
          </w:rPr>
          <w:t>ban</w:t>
        </w:r>
      </w:hyperlink>
      <w:r w:rsidR="00C11FD8">
        <w:rPr>
          <w:sz w:val="28"/>
          <w:szCs w:val="28"/>
        </w:rPr>
        <w:t xml:space="preserve"> hành danh mục bệnh truyền nhiễm, phạm vi và đối tượng phải sử dụng vắc xin, sinh phẩm y tế bắt buộc</w:t>
      </w:r>
      <w:r w:rsidR="00C11FD8" w:rsidRPr="00C11FD8">
        <w:rPr>
          <w:sz w:val="28"/>
          <w:szCs w:val="28"/>
        </w:rPr>
        <w:t>;</w:t>
      </w:r>
    </w:p>
    <w:p w14:paraId="52450DE8" w14:textId="77777777" w:rsidR="00C11FD8" w:rsidRPr="009B7B1D" w:rsidRDefault="00C11FD8" w:rsidP="00223C9A">
      <w:pPr>
        <w:spacing w:before="120" w:after="120"/>
        <w:jc w:val="both"/>
        <w:rPr>
          <w:sz w:val="28"/>
          <w:szCs w:val="28"/>
        </w:rPr>
      </w:pPr>
      <w:r>
        <w:rPr>
          <w:sz w:val="28"/>
          <w:szCs w:val="28"/>
        </w:rPr>
        <w:tab/>
      </w:r>
      <w:r w:rsidRPr="009B7B1D">
        <w:rPr>
          <w:sz w:val="28"/>
          <w:szCs w:val="28"/>
        </w:rPr>
        <w:t xml:space="preserve">- </w:t>
      </w:r>
      <w:r w:rsidRPr="00C11FD8">
        <w:rPr>
          <w:sz w:val="28"/>
          <w:szCs w:val="28"/>
        </w:rPr>
        <w:t>Thông tư s</w:t>
      </w:r>
      <w:r>
        <w:rPr>
          <w:sz w:val="28"/>
          <w:szCs w:val="28"/>
        </w:rPr>
        <w:t>ố 12/2014/TT-BYT ngày 20/3/2014 của Bộ trưởng Bộ Y tế hướng dẫn việc quản lý sử dụng vắc xin trong tiêm chủng.</w:t>
      </w:r>
    </w:p>
    <w:p w14:paraId="3E335DCA" w14:textId="77777777" w:rsidR="00D103EA" w:rsidRDefault="00F169A3" w:rsidP="00223C9A">
      <w:pPr>
        <w:spacing w:before="120" w:after="120"/>
        <w:ind w:firstLine="720"/>
        <w:jc w:val="both"/>
        <w:rPr>
          <w:sz w:val="28"/>
          <w:szCs w:val="28"/>
        </w:rPr>
      </w:pPr>
      <w:r w:rsidRPr="009B7B1D">
        <w:rPr>
          <w:sz w:val="28"/>
          <w:szCs w:val="28"/>
          <w:lang w:val="pt-BR"/>
        </w:rPr>
        <w:t xml:space="preserve">Luật </w:t>
      </w:r>
      <w:r w:rsidR="00443C09">
        <w:rPr>
          <w:sz w:val="28"/>
          <w:szCs w:val="28"/>
          <w:lang w:val="pt-BR"/>
        </w:rPr>
        <w:t>Phòng, chống bệnh truyền nhiễm</w:t>
      </w:r>
      <w:r w:rsidRPr="009B7B1D">
        <w:rPr>
          <w:sz w:val="28"/>
          <w:szCs w:val="28"/>
          <w:lang w:val="pt-BR"/>
        </w:rPr>
        <w:t xml:space="preserve"> và các văn bản có liên quan đã tạo hành lang pháp lý quan trọng trong việc </w:t>
      </w:r>
      <w:r w:rsidR="00443C09">
        <w:rPr>
          <w:sz w:val="28"/>
          <w:szCs w:val="28"/>
          <w:lang w:val="pt-BR"/>
        </w:rPr>
        <w:t>triển khai công tác tiêm chủng</w:t>
      </w:r>
      <w:r w:rsidR="003D01EA">
        <w:rPr>
          <w:sz w:val="28"/>
          <w:szCs w:val="28"/>
        </w:rPr>
        <w:t xml:space="preserve">. Quy định rõ </w:t>
      </w:r>
      <w:r w:rsidR="00066BFD">
        <w:rPr>
          <w:sz w:val="28"/>
          <w:szCs w:val="28"/>
        </w:rPr>
        <w:t xml:space="preserve">nguyên tắc sử dụng vắc xin, sinh phẩm y tế; đối tượng sử dụng vắc xin, sinh phẩm y tế bắt buộc, tự nguyện; trách nhiệm trong việc tổ chức sử dụng vắc xin, sinh phẩm y tế; danh mục bệnh truyền nhiễm, phạm vi và đối tượng phải sử dụng vắc xin, sinh phẩm y tế bắt buộc đối với người có nguy cơ mắc bệnh truyền nhiễm tại vùng có dịch hoặc đến vùng có dịch; danh mục bệnh truyền nhiễm, đối tượng, lịch sử dụng vắc xin bắt </w:t>
      </w:r>
      <w:r w:rsidR="00066BFD" w:rsidRPr="00066BFD">
        <w:rPr>
          <w:sz w:val="28"/>
          <w:szCs w:val="28"/>
        </w:rPr>
        <w:t>buộc trong Chương trình tiêm chủng mở rộng; đ</w:t>
      </w:r>
      <w:r w:rsidR="00FE3D94" w:rsidRPr="00066BFD">
        <w:rPr>
          <w:sz w:val="28"/>
          <w:szCs w:val="28"/>
        </w:rPr>
        <w:t xml:space="preserve">iều kiện đối với các cơ sở y tế </w:t>
      </w:r>
      <w:r w:rsidR="00FE3D94" w:rsidRPr="00066BFD">
        <w:rPr>
          <w:bCs/>
          <w:sz w:val="28"/>
          <w:szCs w:val="28"/>
        </w:rPr>
        <w:t>thực hiện tiêm chủng</w:t>
      </w:r>
      <w:r w:rsidR="00066BFD" w:rsidRPr="00066BFD">
        <w:rPr>
          <w:bCs/>
          <w:sz w:val="28"/>
          <w:szCs w:val="28"/>
        </w:rPr>
        <w:t>; q</w:t>
      </w:r>
      <w:r w:rsidR="00FE3D94" w:rsidRPr="00066BFD">
        <w:rPr>
          <w:sz w:val="28"/>
          <w:szCs w:val="28"/>
        </w:rPr>
        <w:t>uy trình vận chuyển, tiếp nhận, bảo quản và cấp phát vắc xin;</w:t>
      </w:r>
      <w:r w:rsidR="00066BFD" w:rsidRPr="00066BFD">
        <w:rPr>
          <w:sz w:val="28"/>
          <w:szCs w:val="28"/>
        </w:rPr>
        <w:t xml:space="preserve"> t</w:t>
      </w:r>
      <w:r w:rsidR="00FE3D94" w:rsidRPr="00066BFD">
        <w:rPr>
          <w:sz w:val="28"/>
          <w:szCs w:val="28"/>
        </w:rPr>
        <w:t>ổ chức tiêm chủng</w:t>
      </w:r>
      <w:r w:rsidR="00066BFD" w:rsidRPr="00066BFD">
        <w:rPr>
          <w:sz w:val="28"/>
          <w:szCs w:val="28"/>
        </w:rPr>
        <w:t xml:space="preserve"> và g</w:t>
      </w:r>
      <w:r w:rsidR="00FE3D94" w:rsidRPr="00066BFD">
        <w:rPr>
          <w:sz w:val="28"/>
          <w:szCs w:val="28"/>
        </w:rPr>
        <w:t>iám sát, xử trí phản ứng</w:t>
      </w:r>
      <w:r w:rsidR="00FE3D94" w:rsidRPr="00066BFD">
        <w:rPr>
          <w:i/>
          <w:sz w:val="28"/>
          <w:szCs w:val="28"/>
        </w:rPr>
        <w:t xml:space="preserve"> </w:t>
      </w:r>
      <w:r w:rsidR="00FE3D94" w:rsidRPr="00066BFD">
        <w:rPr>
          <w:sz w:val="28"/>
          <w:szCs w:val="28"/>
        </w:rPr>
        <w:t>sau tiêm chủng;</w:t>
      </w:r>
      <w:r w:rsidR="00066BFD" w:rsidRPr="00066BFD">
        <w:rPr>
          <w:iCs/>
          <w:sz w:val="28"/>
          <w:szCs w:val="28"/>
        </w:rPr>
        <w:t xml:space="preserve"> thành lập, tổ chức và hoạt động của Hội đồng tư vấn chuyên môn đánh giá tai biến trong quá trình sử dụng vắc xin, sinh phẩm y tế</w:t>
      </w:r>
      <w:r w:rsidR="00066BFD" w:rsidRPr="00066BFD">
        <w:rPr>
          <w:sz w:val="28"/>
          <w:szCs w:val="28"/>
        </w:rPr>
        <w:t xml:space="preserve"> và t</w:t>
      </w:r>
      <w:r w:rsidR="00FE3D94" w:rsidRPr="00066BFD">
        <w:rPr>
          <w:sz w:val="28"/>
          <w:szCs w:val="28"/>
        </w:rPr>
        <w:t>hẩm quyền, hồ sơ, thủ tục cấp mới, cấp lại, đình chỉ, thu hồi giấy chứng nhận đủ điều kiện tiêm chủng.</w:t>
      </w:r>
    </w:p>
    <w:p w14:paraId="53A1E66C" w14:textId="77777777" w:rsidR="00D103EA" w:rsidRDefault="00D103EA" w:rsidP="00223C9A">
      <w:pPr>
        <w:spacing w:before="120" w:after="120"/>
        <w:ind w:firstLine="720"/>
        <w:jc w:val="both"/>
        <w:rPr>
          <w:sz w:val="28"/>
          <w:szCs w:val="28"/>
        </w:rPr>
      </w:pPr>
      <w:r>
        <w:rPr>
          <w:sz w:val="28"/>
          <w:szCs w:val="28"/>
          <w:lang w:val="nl-NL" w:eastAsia="zh-CN"/>
        </w:rPr>
        <w:t>Sau 8 năm thực hiện</w:t>
      </w:r>
      <w:r w:rsidRPr="00D103EA">
        <w:rPr>
          <w:sz w:val="28"/>
          <w:szCs w:val="28"/>
          <w:lang w:val="nl-NL" w:eastAsia="zh-CN"/>
        </w:rPr>
        <w:t xml:space="preserve"> các quy định của Luật phòng, chống bệnh truyền nhiễm về tiêm chủng về cơ bản đã đáp ứng được yêu cầu thực tiễn, tăng cường hiệu lực, hiệu quả của công tác quản lý nhà nước về tiêm chủng, tạo điều kiện thuận lợi cho hệ thống cơ sở tiêm chủng phát triển và từ đó bảo đảm quyền lợi của người dân tiếp cận với dịch vụ tiêm chủng với chất lượng ngày một tốt hơn.</w:t>
      </w:r>
      <w:r>
        <w:rPr>
          <w:sz w:val="28"/>
          <w:szCs w:val="28"/>
        </w:rPr>
        <w:t xml:space="preserve"> K</w:t>
      </w:r>
      <w:r w:rsidRPr="009B7B1D">
        <w:rPr>
          <w:sz w:val="28"/>
          <w:szCs w:val="28"/>
        </w:rPr>
        <w:t xml:space="preserve">hông có hiện tượng trái pháp luật và khó khăn trong </w:t>
      </w:r>
      <w:r w:rsidR="008138FF">
        <w:rPr>
          <w:sz w:val="28"/>
          <w:szCs w:val="28"/>
        </w:rPr>
        <w:t>thực hiện c</w:t>
      </w:r>
      <w:r>
        <w:rPr>
          <w:sz w:val="28"/>
          <w:szCs w:val="28"/>
        </w:rPr>
        <w:t>ác quy định về quản lý sử dụng vắc xin trong tiêm chủng là thống nhất, đồng bộ</w:t>
      </w:r>
      <w:r w:rsidRPr="009B7B1D">
        <w:rPr>
          <w:sz w:val="28"/>
          <w:szCs w:val="28"/>
        </w:rPr>
        <w:t>.</w:t>
      </w:r>
    </w:p>
    <w:p w14:paraId="0511A77D" w14:textId="77777777" w:rsidR="00D103EA" w:rsidRDefault="00D103EA" w:rsidP="00223C9A">
      <w:pPr>
        <w:spacing w:before="120" w:after="120"/>
        <w:ind w:firstLine="720"/>
        <w:jc w:val="both"/>
        <w:rPr>
          <w:sz w:val="28"/>
          <w:szCs w:val="28"/>
        </w:rPr>
      </w:pPr>
      <w:r w:rsidRPr="00D103EA">
        <w:rPr>
          <w:sz w:val="28"/>
          <w:szCs w:val="28"/>
          <w:lang w:val="nl-NL" w:eastAsia="zh-CN"/>
        </w:rPr>
        <w:t>Tuy nhiên, bên cạnh những kết quả đã đạt được vẫn còn một số khó khăn, vướng mắc do thực tế nảy sinh, do một số quy định không còn phù hợp với thực tiễn cần phải được nghiên cứu, sửa đổi, bổ sung cho phù hợp với thực tiễn như:</w:t>
      </w:r>
    </w:p>
    <w:p w14:paraId="11530941" w14:textId="77777777" w:rsidR="00D103EA" w:rsidRDefault="00D103EA" w:rsidP="00223C9A">
      <w:pPr>
        <w:spacing w:before="120" w:after="120"/>
        <w:ind w:firstLine="720"/>
        <w:jc w:val="both"/>
        <w:rPr>
          <w:sz w:val="28"/>
          <w:szCs w:val="28"/>
        </w:rPr>
      </w:pPr>
      <w:r w:rsidRPr="00D103EA">
        <w:rPr>
          <w:sz w:val="28"/>
          <w:szCs w:val="28"/>
          <w:lang w:val="nl-NL"/>
        </w:rPr>
        <w:t>- Hiện nay các cơ sở kinh doanh dịch vụ tiêm chủng chủ yếu thực hiện việc cung ứng các vắc xin dịch vụ mà chưa tham gia cung ứng các vắc xin t</w:t>
      </w:r>
      <w:r w:rsidR="000A6EA2">
        <w:rPr>
          <w:sz w:val="28"/>
          <w:szCs w:val="28"/>
          <w:lang w:val="nl-NL"/>
        </w:rPr>
        <w:t xml:space="preserve">rong </w:t>
      </w:r>
      <w:r w:rsidRPr="00D103EA">
        <w:rPr>
          <w:sz w:val="28"/>
          <w:szCs w:val="28"/>
          <w:lang w:val="nl-NL"/>
        </w:rPr>
        <w:t xml:space="preserve">tiêm chủng mở rộng. Điều này dẫn đến tình trạng các cơ sở này không thực hiện việc cung ứng vắc xin cho người đến tiêm khi nguồn cung ứng vắc xin dịch vụ không đủ. Do </w:t>
      </w:r>
      <w:r w:rsidR="008138FF">
        <w:rPr>
          <w:sz w:val="28"/>
          <w:szCs w:val="28"/>
          <w:lang w:val="nl-NL"/>
        </w:rPr>
        <w:t>vậy, cần có quy định để tạo hành</w:t>
      </w:r>
      <w:r w:rsidRPr="00D103EA">
        <w:rPr>
          <w:sz w:val="28"/>
          <w:szCs w:val="28"/>
          <w:lang w:val="nl-NL"/>
        </w:rPr>
        <w:t xml:space="preserve"> lang pháp lý cho các cơ sở tiêm chủng dịch vụ tham gia cung ứng các vắc xin thuộc chương trình tiêm chủng mở rộng.</w:t>
      </w:r>
    </w:p>
    <w:p w14:paraId="3996C7D9" w14:textId="77777777" w:rsidR="00D103EA" w:rsidRDefault="00D103EA" w:rsidP="00223C9A">
      <w:pPr>
        <w:spacing w:before="120" w:after="120"/>
        <w:ind w:firstLine="720"/>
        <w:jc w:val="both"/>
        <w:rPr>
          <w:sz w:val="28"/>
          <w:szCs w:val="28"/>
        </w:rPr>
      </w:pPr>
      <w:r w:rsidRPr="00D103EA">
        <w:rPr>
          <w:sz w:val="28"/>
          <w:szCs w:val="28"/>
          <w:lang w:val="nl-NL"/>
        </w:rPr>
        <w:lastRenderedPageBreak/>
        <w:t>- Mặc dù Luật phòng, chống bệnh truyền nhiễm đã có quy định về bồi thường trong trường hợp có xảy ra tai biến do tiêm chủng. Tuy nhiên, đây chỉ là các quy định khung mà không có quy định cụ thể về các trường hợp được bồi thường, mức bồi thường, thủ tục bồi thường. Bên cạnh đó, Luật phòng, chống bệnh truyền nhiễm quy định việc bồi thường trước tiên sẽ do Nhà nước chịu trách nhiệm và cá nhân, tổ chức có lỗi được xác định sẽ phải thực hiện việc bồi hoàn cho Nhà nước. Tuy nhiên, đây lại không phải là bồi thường Nhà nước do về bản chất việc tiêm chủng là nhằm mục tiêu bảo vệ sức khỏe cho chính người đó cũng như cho cộng đồng và do tỷ lệ tai biến không thể tránh khỏi nên Nhà nước sẽ thực hiện việc bồi thường nhằm chia sẻ rủi ro với người bị tai biến. Chính vì vậy, không thể áp dụng cơ chế bồi thường của Luật trách nhiệm bồi thường của Nhà nước</w:t>
      </w:r>
      <w:r>
        <w:rPr>
          <w:sz w:val="28"/>
          <w:szCs w:val="28"/>
          <w:lang w:val="nl-NL"/>
        </w:rPr>
        <w:t>.</w:t>
      </w:r>
    </w:p>
    <w:p w14:paraId="687DA360" w14:textId="77777777" w:rsidR="00D103EA" w:rsidRPr="00D103EA" w:rsidRDefault="00D103EA" w:rsidP="00223C9A">
      <w:pPr>
        <w:spacing w:before="120" w:after="120"/>
        <w:ind w:firstLine="720"/>
        <w:jc w:val="both"/>
        <w:rPr>
          <w:sz w:val="28"/>
          <w:szCs w:val="28"/>
        </w:rPr>
      </w:pPr>
      <w:r w:rsidRPr="00D103EA">
        <w:rPr>
          <w:sz w:val="28"/>
          <w:szCs w:val="28"/>
          <w:lang w:val="nl-NL"/>
        </w:rPr>
        <w:t>- Luật đầu tư quy định kinh doanh dịch vụ tiêm chủng là hoạt động kinh doanh có điều kiện và theo quy định tại Khoản 3 Điều 7 của Luật này thì các điều kiện kinh doanh của ngành, nghề kinh doanh có điều kiện phải được quy định tại  văn bản từ cấp Nghị định trở lên. Tuy nhiên, các điều kiện thành lập của cơ sở tiêm chủng lại đang được quy định tại một số văn bản cấp Thông tư do Bộ trưởng Bộ Y tế ban hành. Do vậy, cần phải nâng cấp hình thức ban hành từ thông tư lên thành nghị định để bảo đảm tính phù hợp với quy định của Luật đầu tư.</w:t>
      </w:r>
    </w:p>
    <w:p w14:paraId="36F18805" w14:textId="77777777" w:rsidR="00D103EA" w:rsidRDefault="00D103EA" w:rsidP="00223C9A">
      <w:pPr>
        <w:spacing w:before="120" w:after="120"/>
        <w:ind w:firstLine="720"/>
        <w:jc w:val="both"/>
        <w:rPr>
          <w:sz w:val="28"/>
          <w:szCs w:val="28"/>
        </w:rPr>
      </w:pPr>
      <w:r w:rsidRPr="00D103EA">
        <w:rPr>
          <w:sz w:val="28"/>
          <w:szCs w:val="28"/>
          <w:lang w:val="nl-NL"/>
        </w:rPr>
        <w:t xml:space="preserve">Trên cơ sở </w:t>
      </w:r>
      <w:r>
        <w:rPr>
          <w:sz w:val="28"/>
          <w:szCs w:val="28"/>
          <w:lang w:val="nl-NL"/>
        </w:rPr>
        <w:t xml:space="preserve">đó </w:t>
      </w:r>
      <w:r w:rsidRPr="00D103EA">
        <w:rPr>
          <w:sz w:val="28"/>
          <w:szCs w:val="28"/>
          <w:lang w:val="nl-NL"/>
        </w:rPr>
        <w:t>Thủ tướng Chính phủ đã giao Bộ Y tế xây dựng dự th</w:t>
      </w:r>
      <w:r>
        <w:rPr>
          <w:sz w:val="28"/>
          <w:szCs w:val="28"/>
          <w:lang w:val="nl-NL"/>
        </w:rPr>
        <w:t>ảo Nghị định quy định về hoạt động tiêm chủng</w:t>
      </w:r>
      <w:r w:rsidRPr="006D3F8D">
        <w:rPr>
          <w:sz w:val="28"/>
          <w:szCs w:val="28"/>
          <w:lang w:val="nl-NL"/>
        </w:rPr>
        <w:t>.</w:t>
      </w:r>
    </w:p>
    <w:p w14:paraId="6AFC021A" w14:textId="77777777" w:rsidR="0024390A" w:rsidRDefault="00323451" w:rsidP="00223C9A">
      <w:pPr>
        <w:spacing w:before="120" w:after="120"/>
        <w:ind w:firstLine="720"/>
        <w:jc w:val="both"/>
        <w:rPr>
          <w:b/>
          <w:sz w:val="28"/>
          <w:szCs w:val="28"/>
        </w:rPr>
      </w:pPr>
      <w:r w:rsidRPr="00A90760">
        <w:rPr>
          <w:b/>
          <w:sz w:val="28"/>
          <w:szCs w:val="28"/>
        </w:rPr>
        <w:t xml:space="preserve">2. Khái quát quá trình </w:t>
      </w:r>
      <w:r w:rsidR="00D103EA">
        <w:rPr>
          <w:b/>
          <w:sz w:val="28"/>
          <w:szCs w:val="28"/>
        </w:rPr>
        <w:t>triển khai công tác tiêm chủng</w:t>
      </w:r>
      <w:r w:rsidR="0041137B">
        <w:rPr>
          <w:b/>
          <w:sz w:val="28"/>
          <w:szCs w:val="28"/>
        </w:rPr>
        <w:t xml:space="preserve"> tại Việt Nam</w:t>
      </w:r>
    </w:p>
    <w:p w14:paraId="60E99AED" w14:textId="77777777" w:rsidR="0024390A" w:rsidRPr="0024390A" w:rsidRDefault="0024390A" w:rsidP="00223C9A">
      <w:pPr>
        <w:spacing w:before="120" w:after="120"/>
        <w:ind w:firstLine="720"/>
        <w:jc w:val="both"/>
        <w:rPr>
          <w:b/>
          <w:sz w:val="28"/>
          <w:szCs w:val="28"/>
        </w:rPr>
      </w:pPr>
      <w:r w:rsidRPr="0024390A">
        <w:rPr>
          <w:b/>
          <w:sz w:val="28"/>
          <w:szCs w:val="28"/>
        </w:rPr>
        <w:t xml:space="preserve">2.1. </w:t>
      </w:r>
      <w:r w:rsidR="0041137B">
        <w:rPr>
          <w:b/>
          <w:sz w:val="28"/>
          <w:szCs w:val="28"/>
        </w:rPr>
        <w:t xml:space="preserve">Kết quả tiêm chủng </w:t>
      </w:r>
    </w:p>
    <w:p w14:paraId="7CE95D1F" w14:textId="7DB389AF" w:rsidR="0024390A" w:rsidRPr="0024390A" w:rsidRDefault="0024390A" w:rsidP="00223C9A">
      <w:pPr>
        <w:spacing w:before="120" w:after="120"/>
        <w:ind w:firstLine="720"/>
        <w:jc w:val="both"/>
        <w:rPr>
          <w:sz w:val="28"/>
          <w:szCs w:val="28"/>
        </w:rPr>
      </w:pPr>
      <w:r w:rsidRPr="0024390A">
        <w:rPr>
          <w:sz w:val="28"/>
          <w:szCs w:val="28"/>
        </w:rPr>
        <w:t xml:space="preserve">Trong các năm từ 2008 đến nay, tỷ lệ tiêm chủng đầy đủ cho trẻ dưới 1 tuổi, tỷ lệ phụ nữ có thai được tiêm chủng vắc xin uốn ván liên tục đạt cao trên 90%. </w:t>
      </w:r>
      <w:r w:rsidR="00AC2D2B">
        <w:rPr>
          <w:sz w:val="28"/>
          <w:szCs w:val="28"/>
        </w:rPr>
        <w:t xml:space="preserve">Bên cạnh đó, Việt Nam đã triển khai các chiến dịch tiêm chủng như </w:t>
      </w:r>
      <w:r w:rsidRPr="0024390A">
        <w:rPr>
          <w:sz w:val="28"/>
          <w:szCs w:val="28"/>
        </w:rPr>
        <w:t>chiến dịch uống bổ sung vắc xin OPV cho trẻ dưới 5 tuổi được triển khai tại các tỉnh nguy cơ. Năm 2014 chiến dịch tiêm vắc xin Sởi đã được triển khai cho hơn 530.000 trẻ từ 2 đến 10 tuổ</w:t>
      </w:r>
      <w:r w:rsidR="0041137B">
        <w:rPr>
          <w:sz w:val="28"/>
          <w:szCs w:val="28"/>
        </w:rPr>
        <w:t>i tại 13 tỉnh, thành phố</w:t>
      </w:r>
      <w:r w:rsidRPr="0024390A">
        <w:rPr>
          <w:sz w:val="28"/>
          <w:szCs w:val="28"/>
        </w:rPr>
        <w:t xml:space="preserve"> nguy cơ cao. Trong năm 2014-2015, chiến dịch tiêm vắc xin sởi-rubella cũng đã được triển khai lần đầu trong TCMR cho số lượng lớn đối tượng trẻ từ 1-14 tuổi trên phạm vi toàn quốc. </w:t>
      </w:r>
      <w:r w:rsidR="00B60F04">
        <w:rPr>
          <w:sz w:val="28"/>
          <w:szCs w:val="28"/>
        </w:rPr>
        <w:t>Tất cả các trường hợp tai biến nặng sau tiêm chủng đều được điều tra, kết luận nguyên nhân và công khai.</w:t>
      </w:r>
    </w:p>
    <w:p w14:paraId="1FA6651A" w14:textId="77777777" w:rsidR="0024390A" w:rsidRPr="0024390A" w:rsidRDefault="0041137B" w:rsidP="00223C9A">
      <w:pPr>
        <w:pStyle w:val="ListParagraph"/>
        <w:spacing w:before="120" w:after="120" w:line="240" w:lineRule="auto"/>
        <w:ind w:left="0" w:firstLine="720"/>
        <w:contextualSpacing w:val="0"/>
        <w:jc w:val="both"/>
        <w:rPr>
          <w:b/>
          <w:sz w:val="28"/>
          <w:szCs w:val="28"/>
        </w:rPr>
      </w:pPr>
      <w:r>
        <w:rPr>
          <w:b/>
          <w:sz w:val="28"/>
          <w:szCs w:val="28"/>
        </w:rPr>
        <w:t xml:space="preserve">2.2. </w:t>
      </w:r>
      <w:r w:rsidR="0024390A" w:rsidRPr="0024390A">
        <w:rPr>
          <w:b/>
          <w:sz w:val="28"/>
          <w:szCs w:val="28"/>
        </w:rPr>
        <w:t xml:space="preserve">Tăng cường năng lực cán bộ làm công tác tiêm chủng, nâng cao chất lượng công tác TCMR </w:t>
      </w:r>
    </w:p>
    <w:p w14:paraId="4D814D38" w14:textId="77777777" w:rsidR="0024390A" w:rsidRPr="0024390A" w:rsidRDefault="0024390A" w:rsidP="00223C9A">
      <w:pPr>
        <w:spacing w:before="120" w:after="120"/>
        <w:ind w:firstLine="720"/>
        <w:jc w:val="both"/>
        <w:rPr>
          <w:sz w:val="28"/>
          <w:szCs w:val="28"/>
        </w:rPr>
      </w:pPr>
      <w:r w:rsidRPr="0024390A">
        <w:rPr>
          <w:sz w:val="28"/>
          <w:szCs w:val="28"/>
        </w:rPr>
        <w:t xml:space="preserve">Trong các năm qua, Dự án TCMR đã xây dựng các hướng dẫn chuyên môn kỹ thuật, tổ chức tập huấn cho cán bộ TMCR các tuyến về tiêm chủng an toàn, về thực hành tiêm chủng nhằm, lập kế hoạch góp phần quan trọng nâng cao chất lượng công tác TCMR. Hàng chục ngàn cán bộ làm công tác TCMR trên cả nước đã được đào tạo mới, đào tạo lại. Trong năm 2014 đã có 41.155 cán bộ các tuyến được tập huấn về thực hành tiêm chủng an toàn, cập nhật đầy đủ </w:t>
      </w:r>
      <w:r w:rsidRPr="0024390A">
        <w:rPr>
          <w:sz w:val="28"/>
          <w:szCs w:val="28"/>
        </w:rPr>
        <w:lastRenderedPageBreak/>
        <w:t xml:space="preserve">các hướng dẫn chuyên môn, kỹ thuật về TCMR. Trong các năm 2013-2014, đã tổ chức các lớp tập huấn cho Hội đồng tư vấn chuyên môn đánh giá tai biến trong quá trình sử dụng vắc xin </w:t>
      </w:r>
      <w:r w:rsidR="0041137B">
        <w:rPr>
          <w:sz w:val="28"/>
          <w:szCs w:val="28"/>
        </w:rPr>
        <w:t>và sinh phẩm y tế của 63 tỉnh, thành phố</w:t>
      </w:r>
      <w:r w:rsidRPr="0024390A">
        <w:rPr>
          <w:sz w:val="28"/>
          <w:szCs w:val="28"/>
        </w:rPr>
        <w:t>.</w:t>
      </w:r>
    </w:p>
    <w:p w14:paraId="747C2EB7" w14:textId="77777777" w:rsidR="0041137B" w:rsidRDefault="0041137B" w:rsidP="00223C9A">
      <w:pPr>
        <w:pStyle w:val="ListParagraph"/>
        <w:spacing w:before="120" w:after="120" w:line="240" w:lineRule="auto"/>
        <w:ind w:left="0" w:firstLine="720"/>
        <w:contextualSpacing w:val="0"/>
        <w:jc w:val="both"/>
        <w:rPr>
          <w:b/>
          <w:sz w:val="28"/>
          <w:szCs w:val="28"/>
          <w:lang w:val="nl-NL"/>
        </w:rPr>
      </w:pPr>
      <w:r>
        <w:rPr>
          <w:b/>
          <w:sz w:val="28"/>
          <w:szCs w:val="28"/>
          <w:lang w:val="nl-NL"/>
        </w:rPr>
        <w:t>2.3. Đầu tư cho công tác tiêm chủng mở rộng</w:t>
      </w:r>
      <w:r w:rsidR="0024390A" w:rsidRPr="0024390A">
        <w:rPr>
          <w:b/>
          <w:sz w:val="28"/>
          <w:szCs w:val="28"/>
          <w:lang w:val="nl-NL"/>
        </w:rPr>
        <w:t xml:space="preserve"> </w:t>
      </w:r>
    </w:p>
    <w:p w14:paraId="5B19065C" w14:textId="77777777" w:rsidR="0024390A" w:rsidRPr="0041137B" w:rsidRDefault="0041137B" w:rsidP="00223C9A">
      <w:pPr>
        <w:pStyle w:val="ListParagraph"/>
        <w:spacing w:before="120" w:after="120" w:line="240" w:lineRule="auto"/>
        <w:ind w:left="0" w:firstLine="720"/>
        <w:contextualSpacing w:val="0"/>
        <w:jc w:val="both"/>
        <w:rPr>
          <w:b/>
          <w:sz w:val="28"/>
          <w:szCs w:val="28"/>
          <w:lang w:val="nl-NL"/>
        </w:rPr>
      </w:pPr>
      <w:r>
        <w:rPr>
          <w:b/>
          <w:sz w:val="28"/>
          <w:szCs w:val="28"/>
          <w:lang w:val="nl-NL"/>
        </w:rPr>
        <w:t xml:space="preserve">a) </w:t>
      </w:r>
      <w:r w:rsidR="0024390A" w:rsidRPr="0024390A">
        <w:rPr>
          <w:b/>
          <w:sz w:val="28"/>
          <w:szCs w:val="28"/>
        </w:rPr>
        <w:t>Ngân sách nhà nước</w:t>
      </w:r>
    </w:p>
    <w:p w14:paraId="6A15D634" w14:textId="77777777" w:rsidR="0024390A" w:rsidRPr="0024390A" w:rsidRDefault="0024390A" w:rsidP="00223C9A">
      <w:pPr>
        <w:pStyle w:val="ListParagraph"/>
        <w:spacing w:before="120" w:after="120" w:line="240" w:lineRule="auto"/>
        <w:contextualSpacing w:val="0"/>
        <w:jc w:val="center"/>
        <w:rPr>
          <w:sz w:val="28"/>
          <w:szCs w:val="28"/>
        </w:rPr>
      </w:pPr>
      <w:r w:rsidRPr="0024390A">
        <w:rPr>
          <w:sz w:val="28"/>
          <w:szCs w:val="28"/>
        </w:rPr>
        <w:t>Bả</w:t>
      </w:r>
      <w:r w:rsidR="0046311B">
        <w:rPr>
          <w:sz w:val="28"/>
          <w:szCs w:val="28"/>
        </w:rPr>
        <w:t>ng 1</w:t>
      </w:r>
      <w:r w:rsidRPr="0024390A">
        <w:rPr>
          <w:sz w:val="28"/>
          <w:szCs w:val="28"/>
        </w:rPr>
        <w:t>. Đầu tư NSNN cho chương trình TCMR qua các năm</w:t>
      </w:r>
    </w:p>
    <w:tbl>
      <w:tblPr>
        <w:tblW w:w="9261"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810"/>
        <w:gridCol w:w="807"/>
        <w:gridCol w:w="870"/>
        <w:gridCol w:w="851"/>
        <w:gridCol w:w="847"/>
        <w:gridCol w:w="844"/>
        <w:gridCol w:w="853"/>
        <w:gridCol w:w="816"/>
        <w:gridCol w:w="807"/>
      </w:tblGrid>
      <w:tr w:rsidR="0024390A" w:rsidRPr="0024390A" w14:paraId="6BFC574A" w14:textId="77777777">
        <w:trPr>
          <w:trHeight w:val="347"/>
          <w:jc w:val="center"/>
        </w:trPr>
        <w:tc>
          <w:tcPr>
            <w:tcW w:w="1756" w:type="dxa"/>
            <w:vMerge w:val="restart"/>
            <w:shd w:val="clear" w:color="auto" w:fill="auto"/>
            <w:noWrap/>
            <w:vAlign w:val="center"/>
          </w:tcPr>
          <w:p w14:paraId="62C78079" w14:textId="77777777" w:rsidR="0024390A" w:rsidRPr="0024390A" w:rsidRDefault="0024390A" w:rsidP="00E804FE">
            <w:pPr>
              <w:jc w:val="center"/>
              <w:rPr>
                <w:b/>
                <w:sz w:val="28"/>
                <w:szCs w:val="28"/>
              </w:rPr>
            </w:pPr>
            <w:r w:rsidRPr="0024390A">
              <w:rPr>
                <w:b/>
                <w:sz w:val="28"/>
                <w:szCs w:val="28"/>
              </w:rPr>
              <w:t>Nội dung</w:t>
            </w:r>
          </w:p>
        </w:tc>
        <w:tc>
          <w:tcPr>
            <w:tcW w:w="7505" w:type="dxa"/>
            <w:gridSpan w:val="9"/>
            <w:vAlign w:val="center"/>
          </w:tcPr>
          <w:p w14:paraId="1A989E44" w14:textId="77777777" w:rsidR="0024390A" w:rsidRPr="0024390A" w:rsidRDefault="0024390A" w:rsidP="00E804FE">
            <w:pPr>
              <w:jc w:val="center"/>
              <w:rPr>
                <w:b/>
                <w:bCs/>
                <w:sz w:val="28"/>
                <w:szCs w:val="28"/>
              </w:rPr>
            </w:pPr>
            <w:r w:rsidRPr="0024390A">
              <w:rPr>
                <w:b/>
                <w:bCs/>
                <w:sz w:val="28"/>
                <w:szCs w:val="28"/>
              </w:rPr>
              <w:t>Năm</w:t>
            </w:r>
          </w:p>
        </w:tc>
      </w:tr>
      <w:tr w:rsidR="0024390A" w:rsidRPr="0024390A" w14:paraId="7966EB51" w14:textId="77777777">
        <w:trPr>
          <w:trHeight w:val="347"/>
          <w:jc w:val="center"/>
        </w:trPr>
        <w:tc>
          <w:tcPr>
            <w:tcW w:w="1756" w:type="dxa"/>
            <w:vMerge/>
            <w:shd w:val="clear" w:color="auto" w:fill="auto"/>
            <w:noWrap/>
            <w:vAlign w:val="center"/>
          </w:tcPr>
          <w:p w14:paraId="4AADA1C0" w14:textId="77777777" w:rsidR="0024390A" w:rsidRPr="0024390A" w:rsidRDefault="0024390A" w:rsidP="00E804FE">
            <w:pPr>
              <w:jc w:val="center"/>
              <w:rPr>
                <w:sz w:val="28"/>
                <w:szCs w:val="28"/>
              </w:rPr>
            </w:pPr>
          </w:p>
        </w:tc>
        <w:tc>
          <w:tcPr>
            <w:tcW w:w="810" w:type="dxa"/>
            <w:vAlign w:val="center"/>
          </w:tcPr>
          <w:p w14:paraId="022323F0" w14:textId="77777777" w:rsidR="0024390A" w:rsidRPr="0024390A" w:rsidRDefault="0024390A" w:rsidP="00E804FE">
            <w:pPr>
              <w:jc w:val="center"/>
              <w:rPr>
                <w:b/>
                <w:bCs/>
                <w:sz w:val="28"/>
                <w:szCs w:val="28"/>
              </w:rPr>
            </w:pPr>
            <w:r w:rsidRPr="0024390A">
              <w:rPr>
                <w:b/>
                <w:bCs/>
                <w:sz w:val="28"/>
                <w:szCs w:val="28"/>
              </w:rPr>
              <w:t>1995</w:t>
            </w:r>
          </w:p>
        </w:tc>
        <w:tc>
          <w:tcPr>
            <w:tcW w:w="807" w:type="dxa"/>
            <w:shd w:val="clear" w:color="auto" w:fill="auto"/>
            <w:noWrap/>
            <w:vAlign w:val="center"/>
          </w:tcPr>
          <w:p w14:paraId="192651DB" w14:textId="77777777" w:rsidR="0024390A" w:rsidRPr="0024390A" w:rsidRDefault="0024390A" w:rsidP="00E804FE">
            <w:pPr>
              <w:jc w:val="center"/>
              <w:rPr>
                <w:b/>
                <w:bCs/>
                <w:sz w:val="28"/>
                <w:szCs w:val="28"/>
              </w:rPr>
            </w:pPr>
            <w:r w:rsidRPr="0024390A">
              <w:rPr>
                <w:b/>
                <w:bCs/>
                <w:sz w:val="28"/>
                <w:szCs w:val="28"/>
              </w:rPr>
              <w:t>2008</w:t>
            </w:r>
          </w:p>
        </w:tc>
        <w:tc>
          <w:tcPr>
            <w:tcW w:w="870" w:type="dxa"/>
            <w:shd w:val="clear" w:color="auto" w:fill="auto"/>
            <w:noWrap/>
            <w:vAlign w:val="center"/>
          </w:tcPr>
          <w:p w14:paraId="6E1F03B8" w14:textId="77777777" w:rsidR="0024390A" w:rsidRPr="0024390A" w:rsidRDefault="0024390A" w:rsidP="00E804FE">
            <w:pPr>
              <w:jc w:val="center"/>
              <w:rPr>
                <w:b/>
                <w:bCs/>
                <w:sz w:val="28"/>
                <w:szCs w:val="28"/>
              </w:rPr>
            </w:pPr>
            <w:r w:rsidRPr="0024390A">
              <w:rPr>
                <w:b/>
                <w:bCs/>
                <w:sz w:val="28"/>
                <w:szCs w:val="28"/>
              </w:rPr>
              <w:t>2009</w:t>
            </w:r>
          </w:p>
        </w:tc>
        <w:tc>
          <w:tcPr>
            <w:tcW w:w="851" w:type="dxa"/>
            <w:shd w:val="clear" w:color="auto" w:fill="auto"/>
            <w:noWrap/>
            <w:vAlign w:val="center"/>
          </w:tcPr>
          <w:p w14:paraId="36DE8D6D" w14:textId="77777777" w:rsidR="0024390A" w:rsidRPr="0024390A" w:rsidRDefault="0024390A" w:rsidP="00E804FE">
            <w:pPr>
              <w:jc w:val="center"/>
              <w:rPr>
                <w:b/>
                <w:bCs/>
                <w:sz w:val="28"/>
                <w:szCs w:val="28"/>
              </w:rPr>
            </w:pPr>
            <w:r w:rsidRPr="0024390A">
              <w:rPr>
                <w:b/>
                <w:bCs/>
                <w:sz w:val="28"/>
                <w:szCs w:val="28"/>
              </w:rPr>
              <w:t>2010</w:t>
            </w:r>
          </w:p>
        </w:tc>
        <w:tc>
          <w:tcPr>
            <w:tcW w:w="847" w:type="dxa"/>
            <w:shd w:val="clear" w:color="auto" w:fill="auto"/>
            <w:noWrap/>
            <w:vAlign w:val="center"/>
          </w:tcPr>
          <w:p w14:paraId="12E45183" w14:textId="77777777" w:rsidR="0024390A" w:rsidRPr="0024390A" w:rsidRDefault="0024390A" w:rsidP="00E804FE">
            <w:pPr>
              <w:jc w:val="center"/>
              <w:rPr>
                <w:b/>
                <w:bCs/>
                <w:sz w:val="28"/>
                <w:szCs w:val="28"/>
              </w:rPr>
            </w:pPr>
            <w:r w:rsidRPr="0024390A">
              <w:rPr>
                <w:b/>
                <w:bCs/>
                <w:sz w:val="28"/>
                <w:szCs w:val="28"/>
              </w:rPr>
              <w:t>2011</w:t>
            </w:r>
          </w:p>
        </w:tc>
        <w:tc>
          <w:tcPr>
            <w:tcW w:w="844" w:type="dxa"/>
            <w:shd w:val="clear" w:color="auto" w:fill="auto"/>
            <w:noWrap/>
            <w:vAlign w:val="center"/>
          </w:tcPr>
          <w:p w14:paraId="5C17C9EF" w14:textId="77777777" w:rsidR="0024390A" w:rsidRPr="0024390A" w:rsidRDefault="0024390A" w:rsidP="00E804FE">
            <w:pPr>
              <w:jc w:val="center"/>
              <w:rPr>
                <w:b/>
                <w:bCs/>
                <w:sz w:val="28"/>
                <w:szCs w:val="28"/>
              </w:rPr>
            </w:pPr>
            <w:r w:rsidRPr="0024390A">
              <w:rPr>
                <w:b/>
                <w:bCs/>
                <w:sz w:val="28"/>
                <w:szCs w:val="28"/>
              </w:rPr>
              <w:t>2012</w:t>
            </w:r>
          </w:p>
        </w:tc>
        <w:tc>
          <w:tcPr>
            <w:tcW w:w="853" w:type="dxa"/>
            <w:shd w:val="clear" w:color="auto" w:fill="auto"/>
            <w:noWrap/>
            <w:vAlign w:val="center"/>
          </w:tcPr>
          <w:p w14:paraId="17AAAA45" w14:textId="77777777" w:rsidR="0024390A" w:rsidRPr="0024390A" w:rsidRDefault="0024390A" w:rsidP="00E804FE">
            <w:pPr>
              <w:jc w:val="center"/>
              <w:rPr>
                <w:b/>
                <w:bCs/>
                <w:sz w:val="28"/>
                <w:szCs w:val="28"/>
              </w:rPr>
            </w:pPr>
            <w:r w:rsidRPr="0024390A">
              <w:rPr>
                <w:b/>
                <w:bCs/>
                <w:sz w:val="28"/>
                <w:szCs w:val="28"/>
              </w:rPr>
              <w:t>2013</w:t>
            </w:r>
          </w:p>
        </w:tc>
        <w:tc>
          <w:tcPr>
            <w:tcW w:w="816" w:type="dxa"/>
            <w:shd w:val="clear" w:color="auto" w:fill="auto"/>
            <w:noWrap/>
            <w:vAlign w:val="center"/>
          </w:tcPr>
          <w:p w14:paraId="0952E7BF" w14:textId="77777777" w:rsidR="0024390A" w:rsidRPr="0024390A" w:rsidRDefault="0024390A" w:rsidP="00E804FE">
            <w:pPr>
              <w:jc w:val="center"/>
              <w:rPr>
                <w:b/>
                <w:bCs/>
                <w:sz w:val="28"/>
                <w:szCs w:val="28"/>
              </w:rPr>
            </w:pPr>
            <w:r w:rsidRPr="0024390A">
              <w:rPr>
                <w:b/>
                <w:bCs/>
                <w:sz w:val="28"/>
                <w:szCs w:val="28"/>
              </w:rPr>
              <w:t>2014</w:t>
            </w:r>
          </w:p>
        </w:tc>
        <w:tc>
          <w:tcPr>
            <w:tcW w:w="807" w:type="dxa"/>
            <w:shd w:val="clear" w:color="auto" w:fill="auto"/>
            <w:noWrap/>
            <w:vAlign w:val="center"/>
          </w:tcPr>
          <w:p w14:paraId="4C913339" w14:textId="77777777" w:rsidR="0024390A" w:rsidRPr="0024390A" w:rsidRDefault="0024390A" w:rsidP="00E804FE">
            <w:pPr>
              <w:jc w:val="center"/>
              <w:rPr>
                <w:b/>
                <w:bCs/>
                <w:sz w:val="28"/>
                <w:szCs w:val="28"/>
              </w:rPr>
            </w:pPr>
            <w:r w:rsidRPr="0024390A">
              <w:rPr>
                <w:b/>
                <w:bCs/>
                <w:sz w:val="28"/>
                <w:szCs w:val="28"/>
              </w:rPr>
              <w:t>2015</w:t>
            </w:r>
          </w:p>
        </w:tc>
      </w:tr>
      <w:tr w:rsidR="0024390A" w:rsidRPr="0024390A" w14:paraId="43458A55" w14:textId="77777777">
        <w:trPr>
          <w:trHeight w:val="692"/>
          <w:jc w:val="center"/>
        </w:trPr>
        <w:tc>
          <w:tcPr>
            <w:tcW w:w="1756" w:type="dxa"/>
            <w:shd w:val="clear" w:color="auto" w:fill="auto"/>
            <w:noWrap/>
            <w:vAlign w:val="center"/>
          </w:tcPr>
          <w:p w14:paraId="7C5E8BEA" w14:textId="77777777" w:rsidR="0024390A" w:rsidRPr="0024390A" w:rsidRDefault="0024390A" w:rsidP="00E804FE">
            <w:pPr>
              <w:rPr>
                <w:kern w:val="24"/>
                <w:sz w:val="28"/>
                <w:szCs w:val="28"/>
              </w:rPr>
            </w:pPr>
            <w:r w:rsidRPr="0024390A">
              <w:rPr>
                <w:sz w:val="28"/>
                <w:szCs w:val="28"/>
              </w:rPr>
              <w:t xml:space="preserve">Kinh phí </w:t>
            </w:r>
          </w:p>
          <w:p w14:paraId="522A9C33" w14:textId="77777777" w:rsidR="0024390A" w:rsidRPr="0024390A" w:rsidRDefault="0024390A" w:rsidP="00E804FE">
            <w:pPr>
              <w:rPr>
                <w:sz w:val="28"/>
                <w:szCs w:val="28"/>
              </w:rPr>
            </w:pPr>
            <w:r w:rsidRPr="0024390A">
              <w:rPr>
                <w:kern w:val="24"/>
                <w:sz w:val="28"/>
                <w:szCs w:val="28"/>
              </w:rPr>
              <w:t>(tỷ đồng)</w:t>
            </w:r>
          </w:p>
        </w:tc>
        <w:tc>
          <w:tcPr>
            <w:tcW w:w="810" w:type="dxa"/>
            <w:vAlign w:val="center"/>
          </w:tcPr>
          <w:p w14:paraId="47B724AC" w14:textId="77777777" w:rsidR="0024390A" w:rsidRPr="0024390A" w:rsidRDefault="0024390A" w:rsidP="00E804FE">
            <w:pPr>
              <w:jc w:val="center"/>
              <w:rPr>
                <w:sz w:val="28"/>
                <w:szCs w:val="28"/>
              </w:rPr>
            </w:pPr>
            <w:r w:rsidRPr="0024390A">
              <w:rPr>
                <w:sz w:val="28"/>
                <w:szCs w:val="28"/>
              </w:rPr>
              <w:t>40</w:t>
            </w:r>
          </w:p>
        </w:tc>
        <w:tc>
          <w:tcPr>
            <w:tcW w:w="807" w:type="dxa"/>
            <w:shd w:val="clear" w:color="auto" w:fill="auto"/>
            <w:noWrap/>
            <w:vAlign w:val="center"/>
          </w:tcPr>
          <w:p w14:paraId="5806B3A6" w14:textId="77777777" w:rsidR="0024390A" w:rsidRPr="0024390A" w:rsidRDefault="0024390A" w:rsidP="00E804FE">
            <w:pPr>
              <w:jc w:val="center"/>
              <w:rPr>
                <w:sz w:val="28"/>
                <w:szCs w:val="28"/>
              </w:rPr>
            </w:pPr>
            <w:r w:rsidRPr="0024390A">
              <w:rPr>
                <w:sz w:val="28"/>
                <w:szCs w:val="28"/>
              </w:rPr>
              <w:t>125</w:t>
            </w:r>
          </w:p>
        </w:tc>
        <w:tc>
          <w:tcPr>
            <w:tcW w:w="870" w:type="dxa"/>
            <w:shd w:val="clear" w:color="auto" w:fill="auto"/>
            <w:noWrap/>
            <w:vAlign w:val="center"/>
          </w:tcPr>
          <w:p w14:paraId="1426C6FE" w14:textId="77777777" w:rsidR="0024390A" w:rsidRPr="0024390A" w:rsidRDefault="0024390A" w:rsidP="00E804FE">
            <w:pPr>
              <w:jc w:val="center"/>
              <w:rPr>
                <w:sz w:val="28"/>
                <w:szCs w:val="28"/>
              </w:rPr>
            </w:pPr>
            <w:r w:rsidRPr="0024390A">
              <w:rPr>
                <w:sz w:val="28"/>
                <w:szCs w:val="28"/>
              </w:rPr>
              <w:t>142</w:t>
            </w:r>
          </w:p>
        </w:tc>
        <w:tc>
          <w:tcPr>
            <w:tcW w:w="851" w:type="dxa"/>
            <w:shd w:val="clear" w:color="auto" w:fill="auto"/>
            <w:noWrap/>
            <w:vAlign w:val="center"/>
          </w:tcPr>
          <w:p w14:paraId="2EACB007" w14:textId="77777777" w:rsidR="0024390A" w:rsidRPr="0024390A" w:rsidRDefault="0024390A" w:rsidP="00E804FE">
            <w:pPr>
              <w:jc w:val="center"/>
              <w:rPr>
                <w:sz w:val="28"/>
                <w:szCs w:val="28"/>
              </w:rPr>
            </w:pPr>
            <w:r w:rsidRPr="0024390A">
              <w:rPr>
                <w:sz w:val="28"/>
                <w:szCs w:val="28"/>
              </w:rPr>
              <w:t>170</w:t>
            </w:r>
          </w:p>
        </w:tc>
        <w:tc>
          <w:tcPr>
            <w:tcW w:w="847" w:type="dxa"/>
            <w:shd w:val="clear" w:color="auto" w:fill="auto"/>
            <w:noWrap/>
            <w:vAlign w:val="center"/>
          </w:tcPr>
          <w:p w14:paraId="31E9C766" w14:textId="77777777" w:rsidR="0024390A" w:rsidRPr="0024390A" w:rsidRDefault="0024390A" w:rsidP="00E804FE">
            <w:pPr>
              <w:jc w:val="center"/>
              <w:rPr>
                <w:sz w:val="28"/>
                <w:szCs w:val="28"/>
              </w:rPr>
            </w:pPr>
            <w:r w:rsidRPr="0024390A">
              <w:rPr>
                <w:sz w:val="28"/>
                <w:szCs w:val="28"/>
              </w:rPr>
              <w:t>220</w:t>
            </w:r>
          </w:p>
        </w:tc>
        <w:tc>
          <w:tcPr>
            <w:tcW w:w="844" w:type="dxa"/>
            <w:shd w:val="clear" w:color="auto" w:fill="auto"/>
            <w:noWrap/>
            <w:vAlign w:val="center"/>
          </w:tcPr>
          <w:p w14:paraId="70935923" w14:textId="77777777" w:rsidR="0024390A" w:rsidRPr="0024390A" w:rsidRDefault="0024390A" w:rsidP="00E804FE">
            <w:pPr>
              <w:jc w:val="center"/>
              <w:rPr>
                <w:sz w:val="28"/>
                <w:szCs w:val="28"/>
              </w:rPr>
            </w:pPr>
            <w:r w:rsidRPr="0024390A">
              <w:rPr>
                <w:sz w:val="28"/>
                <w:szCs w:val="28"/>
              </w:rPr>
              <w:t>240</w:t>
            </w:r>
          </w:p>
        </w:tc>
        <w:tc>
          <w:tcPr>
            <w:tcW w:w="853" w:type="dxa"/>
            <w:shd w:val="clear" w:color="auto" w:fill="auto"/>
            <w:noWrap/>
            <w:vAlign w:val="center"/>
          </w:tcPr>
          <w:p w14:paraId="5FCF7FAF" w14:textId="77777777" w:rsidR="0024390A" w:rsidRPr="0024390A" w:rsidRDefault="0024390A" w:rsidP="00E804FE">
            <w:pPr>
              <w:jc w:val="center"/>
              <w:rPr>
                <w:sz w:val="28"/>
                <w:szCs w:val="28"/>
              </w:rPr>
            </w:pPr>
            <w:r w:rsidRPr="0024390A">
              <w:rPr>
                <w:sz w:val="28"/>
                <w:szCs w:val="28"/>
              </w:rPr>
              <w:t>240</w:t>
            </w:r>
          </w:p>
        </w:tc>
        <w:tc>
          <w:tcPr>
            <w:tcW w:w="816" w:type="dxa"/>
            <w:shd w:val="clear" w:color="auto" w:fill="auto"/>
            <w:noWrap/>
            <w:vAlign w:val="center"/>
          </w:tcPr>
          <w:p w14:paraId="36625309" w14:textId="77777777" w:rsidR="0024390A" w:rsidRPr="0024390A" w:rsidRDefault="0024390A" w:rsidP="00E804FE">
            <w:pPr>
              <w:jc w:val="center"/>
              <w:rPr>
                <w:sz w:val="28"/>
                <w:szCs w:val="28"/>
              </w:rPr>
            </w:pPr>
            <w:r w:rsidRPr="0024390A">
              <w:rPr>
                <w:sz w:val="28"/>
                <w:szCs w:val="28"/>
              </w:rPr>
              <w:t>284</w:t>
            </w:r>
          </w:p>
        </w:tc>
        <w:tc>
          <w:tcPr>
            <w:tcW w:w="807" w:type="dxa"/>
            <w:shd w:val="clear" w:color="auto" w:fill="auto"/>
            <w:noWrap/>
            <w:vAlign w:val="center"/>
          </w:tcPr>
          <w:p w14:paraId="751860C6" w14:textId="77777777" w:rsidR="0024390A" w:rsidRPr="0024390A" w:rsidRDefault="0024390A" w:rsidP="00E804FE">
            <w:pPr>
              <w:jc w:val="center"/>
              <w:rPr>
                <w:sz w:val="28"/>
                <w:szCs w:val="28"/>
              </w:rPr>
            </w:pPr>
            <w:r w:rsidRPr="0024390A">
              <w:rPr>
                <w:sz w:val="28"/>
                <w:szCs w:val="28"/>
              </w:rPr>
              <w:t>311</w:t>
            </w:r>
          </w:p>
        </w:tc>
      </w:tr>
      <w:tr w:rsidR="0024390A" w:rsidRPr="0024390A" w14:paraId="773E33A7" w14:textId="77777777">
        <w:trPr>
          <w:trHeight w:val="347"/>
          <w:jc w:val="center"/>
        </w:trPr>
        <w:tc>
          <w:tcPr>
            <w:tcW w:w="1756" w:type="dxa"/>
            <w:shd w:val="clear" w:color="auto" w:fill="auto"/>
            <w:noWrap/>
            <w:vAlign w:val="center"/>
          </w:tcPr>
          <w:p w14:paraId="5DD8C933" w14:textId="77777777" w:rsidR="0024390A" w:rsidRPr="0024390A" w:rsidRDefault="0024390A" w:rsidP="00E804FE">
            <w:pPr>
              <w:rPr>
                <w:sz w:val="28"/>
                <w:szCs w:val="28"/>
              </w:rPr>
            </w:pPr>
            <w:r w:rsidRPr="0024390A">
              <w:rPr>
                <w:sz w:val="28"/>
                <w:szCs w:val="28"/>
              </w:rPr>
              <w:t>Tỷ lệ (%) trong số NSNN dành cho Y tế</w:t>
            </w:r>
          </w:p>
        </w:tc>
        <w:tc>
          <w:tcPr>
            <w:tcW w:w="810" w:type="dxa"/>
            <w:vAlign w:val="center"/>
          </w:tcPr>
          <w:p w14:paraId="60ABA010" w14:textId="77777777" w:rsidR="0024390A" w:rsidRPr="0024390A" w:rsidRDefault="0024390A" w:rsidP="00E804FE">
            <w:pPr>
              <w:jc w:val="center"/>
              <w:rPr>
                <w:sz w:val="28"/>
                <w:szCs w:val="28"/>
              </w:rPr>
            </w:pPr>
            <w:r w:rsidRPr="0024390A">
              <w:rPr>
                <w:sz w:val="28"/>
                <w:szCs w:val="28"/>
              </w:rPr>
              <w:t>1,1</w:t>
            </w:r>
          </w:p>
        </w:tc>
        <w:tc>
          <w:tcPr>
            <w:tcW w:w="807" w:type="dxa"/>
            <w:shd w:val="clear" w:color="auto" w:fill="auto"/>
            <w:noWrap/>
            <w:vAlign w:val="center"/>
          </w:tcPr>
          <w:p w14:paraId="33286D4A" w14:textId="77777777" w:rsidR="0024390A" w:rsidRPr="0024390A" w:rsidRDefault="0024390A" w:rsidP="00E804FE">
            <w:pPr>
              <w:jc w:val="center"/>
              <w:rPr>
                <w:sz w:val="28"/>
                <w:szCs w:val="28"/>
              </w:rPr>
            </w:pPr>
            <w:r w:rsidRPr="0024390A">
              <w:rPr>
                <w:sz w:val="28"/>
                <w:szCs w:val="28"/>
              </w:rPr>
              <w:t>0,29</w:t>
            </w:r>
          </w:p>
        </w:tc>
        <w:tc>
          <w:tcPr>
            <w:tcW w:w="870" w:type="dxa"/>
            <w:shd w:val="clear" w:color="auto" w:fill="auto"/>
            <w:noWrap/>
            <w:vAlign w:val="center"/>
          </w:tcPr>
          <w:p w14:paraId="30F583CE" w14:textId="77777777" w:rsidR="0024390A" w:rsidRPr="0024390A" w:rsidRDefault="0024390A" w:rsidP="00E804FE">
            <w:pPr>
              <w:jc w:val="center"/>
              <w:rPr>
                <w:sz w:val="28"/>
                <w:szCs w:val="28"/>
              </w:rPr>
            </w:pPr>
            <w:r w:rsidRPr="0024390A">
              <w:rPr>
                <w:sz w:val="28"/>
                <w:szCs w:val="28"/>
              </w:rPr>
              <w:t>0,24</w:t>
            </w:r>
          </w:p>
        </w:tc>
        <w:tc>
          <w:tcPr>
            <w:tcW w:w="851" w:type="dxa"/>
            <w:shd w:val="clear" w:color="auto" w:fill="auto"/>
            <w:noWrap/>
            <w:vAlign w:val="center"/>
          </w:tcPr>
          <w:p w14:paraId="55CE3A18" w14:textId="77777777" w:rsidR="0024390A" w:rsidRPr="0024390A" w:rsidRDefault="0024390A" w:rsidP="00E804FE">
            <w:pPr>
              <w:jc w:val="center"/>
              <w:rPr>
                <w:sz w:val="28"/>
                <w:szCs w:val="28"/>
              </w:rPr>
            </w:pPr>
            <w:r w:rsidRPr="0024390A">
              <w:rPr>
                <w:sz w:val="28"/>
                <w:szCs w:val="28"/>
              </w:rPr>
              <w:t>0,24</w:t>
            </w:r>
          </w:p>
        </w:tc>
        <w:tc>
          <w:tcPr>
            <w:tcW w:w="847" w:type="dxa"/>
            <w:shd w:val="clear" w:color="auto" w:fill="auto"/>
            <w:noWrap/>
            <w:vAlign w:val="center"/>
          </w:tcPr>
          <w:p w14:paraId="639796C3" w14:textId="77777777" w:rsidR="0024390A" w:rsidRPr="0024390A" w:rsidRDefault="0024390A" w:rsidP="00E804FE">
            <w:pPr>
              <w:jc w:val="center"/>
              <w:rPr>
                <w:sz w:val="28"/>
                <w:szCs w:val="28"/>
              </w:rPr>
            </w:pPr>
            <w:r w:rsidRPr="0024390A">
              <w:rPr>
                <w:sz w:val="28"/>
                <w:szCs w:val="28"/>
              </w:rPr>
              <w:t>0,28</w:t>
            </w:r>
          </w:p>
        </w:tc>
        <w:tc>
          <w:tcPr>
            <w:tcW w:w="844" w:type="dxa"/>
            <w:shd w:val="clear" w:color="auto" w:fill="auto"/>
            <w:noWrap/>
            <w:vAlign w:val="center"/>
          </w:tcPr>
          <w:p w14:paraId="497FB432" w14:textId="77777777" w:rsidR="0024390A" w:rsidRPr="0024390A" w:rsidRDefault="0024390A" w:rsidP="00E804FE">
            <w:pPr>
              <w:jc w:val="center"/>
              <w:rPr>
                <w:sz w:val="28"/>
                <w:szCs w:val="28"/>
              </w:rPr>
            </w:pPr>
            <w:r w:rsidRPr="0024390A">
              <w:rPr>
                <w:sz w:val="28"/>
                <w:szCs w:val="28"/>
              </w:rPr>
              <w:t>0,25</w:t>
            </w:r>
          </w:p>
        </w:tc>
        <w:tc>
          <w:tcPr>
            <w:tcW w:w="853" w:type="dxa"/>
            <w:shd w:val="clear" w:color="auto" w:fill="auto"/>
            <w:noWrap/>
            <w:vAlign w:val="center"/>
          </w:tcPr>
          <w:p w14:paraId="4330B795" w14:textId="77777777" w:rsidR="0024390A" w:rsidRPr="0024390A" w:rsidRDefault="0024390A" w:rsidP="00E804FE">
            <w:pPr>
              <w:jc w:val="center"/>
              <w:rPr>
                <w:sz w:val="28"/>
                <w:szCs w:val="28"/>
              </w:rPr>
            </w:pPr>
            <w:r w:rsidRPr="0024390A">
              <w:rPr>
                <w:sz w:val="28"/>
                <w:szCs w:val="28"/>
              </w:rPr>
              <w:t>0,24</w:t>
            </w:r>
          </w:p>
        </w:tc>
        <w:tc>
          <w:tcPr>
            <w:tcW w:w="816" w:type="dxa"/>
            <w:shd w:val="clear" w:color="auto" w:fill="auto"/>
            <w:noWrap/>
            <w:vAlign w:val="center"/>
          </w:tcPr>
          <w:p w14:paraId="3EFFABAA" w14:textId="77777777" w:rsidR="0024390A" w:rsidRPr="0024390A" w:rsidRDefault="0024390A" w:rsidP="00E804FE">
            <w:pPr>
              <w:jc w:val="center"/>
              <w:rPr>
                <w:sz w:val="28"/>
                <w:szCs w:val="28"/>
              </w:rPr>
            </w:pPr>
            <w:r w:rsidRPr="0024390A">
              <w:rPr>
                <w:sz w:val="28"/>
                <w:szCs w:val="28"/>
              </w:rPr>
              <w:t>0,28</w:t>
            </w:r>
          </w:p>
        </w:tc>
        <w:tc>
          <w:tcPr>
            <w:tcW w:w="807" w:type="dxa"/>
            <w:shd w:val="clear" w:color="auto" w:fill="auto"/>
            <w:noWrap/>
            <w:vAlign w:val="center"/>
          </w:tcPr>
          <w:p w14:paraId="71697F1B" w14:textId="77777777" w:rsidR="0024390A" w:rsidRPr="0024390A" w:rsidRDefault="0024390A" w:rsidP="00E804FE">
            <w:pPr>
              <w:jc w:val="center"/>
              <w:rPr>
                <w:sz w:val="28"/>
                <w:szCs w:val="28"/>
              </w:rPr>
            </w:pPr>
            <w:r w:rsidRPr="0024390A">
              <w:rPr>
                <w:sz w:val="28"/>
                <w:szCs w:val="28"/>
              </w:rPr>
              <w:t>0,30</w:t>
            </w:r>
          </w:p>
        </w:tc>
      </w:tr>
    </w:tbl>
    <w:p w14:paraId="28508FD2" w14:textId="77777777" w:rsidR="0024390A" w:rsidRPr="0024390A" w:rsidRDefault="0024390A" w:rsidP="00223C9A">
      <w:pPr>
        <w:spacing w:before="120" w:after="120"/>
        <w:ind w:firstLine="720"/>
        <w:jc w:val="both"/>
        <w:rPr>
          <w:sz w:val="28"/>
          <w:szCs w:val="28"/>
        </w:rPr>
      </w:pPr>
      <w:r w:rsidRPr="0024390A">
        <w:rPr>
          <w:sz w:val="28"/>
          <w:szCs w:val="28"/>
        </w:rPr>
        <w:t xml:space="preserve">Được sự đầu tư của Nhà nước, Chính phủ, ngân sách nhà nước hàng năm dành cho công tác TCMR tăng dần qua các năm từ 125 tỷ đồng năm 2008 lên 311 tỷ đồng năm 2015. Trong số này, 74-80,2% sử dụng để mua vắc xin, vật tư tiêm chủng, tỷ lệ này có xu hướng tăng dần; 14,7-18,4% kinh phí cấp cho địa phương. </w:t>
      </w:r>
    </w:p>
    <w:p w14:paraId="35AA3266" w14:textId="77777777" w:rsidR="0024390A" w:rsidRPr="0024390A" w:rsidRDefault="0046311B" w:rsidP="00223C9A">
      <w:pPr>
        <w:pStyle w:val="ListParagraph"/>
        <w:spacing w:before="120" w:after="120" w:line="240" w:lineRule="auto"/>
        <w:ind w:left="0" w:firstLine="720"/>
        <w:contextualSpacing w:val="0"/>
        <w:jc w:val="both"/>
        <w:rPr>
          <w:b/>
          <w:sz w:val="28"/>
          <w:szCs w:val="28"/>
        </w:rPr>
      </w:pPr>
      <w:r>
        <w:rPr>
          <w:b/>
          <w:sz w:val="28"/>
          <w:szCs w:val="28"/>
        </w:rPr>
        <w:t>b</w:t>
      </w:r>
      <w:r w:rsidR="00BC2087">
        <w:rPr>
          <w:b/>
          <w:sz w:val="28"/>
          <w:szCs w:val="28"/>
        </w:rPr>
        <w:t xml:space="preserve">) </w:t>
      </w:r>
      <w:r w:rsidR="0024390A" w:rsidRPr="0024390A">
        <w:rPr>
          <w:b/>
          <w:sz w:val="28"/>
          <w:szCs w:val="28"/>
        </w:rPr>
        <w:t xml:space="preserve">Viện trợ quốc tế </w:t>
      </w:r>
    </w:p>
    <w:p w14:paraId="5D5C34FD" w14:textId="77777777" w:rsidR="0024390A" w:rsidRPr="0024390A" w:rsidRDefault="0024390A" w:rsidP="00223C9A">
      <w:pPr>
        <w:pStyle w:val="ListParagraph"/>
        <w:spacing w:before="120" w:after="120" w:line="240" w:lineRule="auto"/>
        <w:contextualSpacing w:val="0"/>
        <w:jc w:val="center"/>
        <w:rPr>
          <w:sz w:val="28"/>
          <w:szCs w:val="28"/>
        </w:rPr>
      </w:pPr>
      <w:r w:rsidRPr="0024390A">
        <w:rPr>
          <w:sz w:val="28"/>
          <w:szCs w:val="28"/>
        </w:rPr>
        <w:t xml:space="preserve">Bảng </w:t>
      </w:r>
      <w:r w:rsidR="0046311B">
        <w:rPr>
          <w:sz w:val="28"/>
          <w:szCs w:val="28"/>
        </w:rPr>
        <w:t>2</w:t>
      </w:r>
      <w:r w:rsidRPr="0024390A">
        <w:rPr>
          <w:sz w:val="28"/>
          <w:szCs w:val="28"/>
        </w:rPr>
        <w:t>. Viện trợ của các tổ chức quốc tế, 2010-2014</w:t>
      </w:r>
    </w:p>
    <w:tbl>
      <w:tblPr>
        <w:tblW w:w="9187" w:type="dxa"/>
        <w:tblInd w:w="103" w:type="dxa"/>
        <w:tblLook w:val="04A0" w:firstRow="1" w:lastRow="0" w:firstColumn="1" w:lastColumn="0" w:noHBand="0" w:noVBand="1"/>
      </w:tblPr>
      <w:tblGrid>
        <w:gridCol w:w="1760"/>
        <w:gridCol w:w="1492"/>
        <w:gridCol w:w="1572"/>
        <w:gridCol w:w="1414"/>
        <w:gridCol w:w="1563"/>
        <w:gridCol w:w="1386"/>
      </w:tblGrid>
      <w:tr w:rsidR="00DB6361" w:rsidRPr="0024390A" w14:paraId="1534ACB9" w14:textId="77777777">
        <w:trPr>
          <w:trHeight w:val="340"/>
        </w:trPr>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9C81F" w14:textId="77777777" w:rsidR="0024390A" w:rsidRPr="0046311B" w:rsidRDefault="0024390A" w:rsidP="00223C9A">
            <w:pPr>
              <w:spacing w:before="120" w:after="120"/>
              <w:jc w:val="center"/>
              <w:rPr>
                <w:sz w:val="26"/>
                <w:szCs w:val="26"/>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362F0A8E" w14:textId="77777777" w:rsidR="0024390A" w:rsidRPr="0046311B" w:rsidRDefault="0024390A" w:rsidP="0046311B">
            <w:pPr>
              <w:spacing w:before="120" w:after="120"/>
              <w:ind w:right="-161" w:hanging="60"/>
              <w:jc w:val="center"/>
              <w:rPr>
                <w:sz w:val="26"/>
                <w:szCs w:val="26"/>
              </w:rPr>
            </w:pPr>
            <w:r w:rsidRPr="0046311B">
              <w:rPr>
                <w:sz w:val="26"/>
                <w:szCs w:val="26"/>
              </w:rPr>
              <w:t>Năm 2010</w:t>
            </w:r>
          </w:p>
        </w:tc>
        <w:tc>
          <w:tcPr>
            <w:tcW w:w="1572" w:type="dxa"/>
            <w:tcBorders>
              <w:top w:val="single" w:sz="4" w:space="0" w:color="auto"/>
              <w:left w:val="nil"/>
              <w:bottom w:val="single" w:sz="4" w:space="0" w:color="auto"/>
              <w:right w:val="single" w:sz="4" w:space="0" w:color="auto"/>
            </w:tcBorders>
            <w:shd w:val="clear" w:color="auto" w:fill="auto"/>
            <w:noWrap/>
            <w:vAlign w:val="bottom"/>
          </w:tcPr>
          <w:p w14:paraId="45B4B364" w14:textId="77777777" w:rsidR="0024390A" w:rsidRPr="0046311B" w:rsidRDefault="0024390A" w:rsidP="0046311B">
            <w:pPr>
              <w:spacing w:before="120" w:after="120"/>
              <w:ind w:right="-161" w:hanging="60"/>
              <w:jc w:val="center"/>
              <w:rPr>
                <w:sz w:val="26"/>
                <w:szCs w:val="26"/>
              </w:rPr>
            </w:pPr>
            <w:r w:rsidRPr="0046311B">
              <w:rPr>
                <w:sz w:val="26"/>
                <w:szCs w:val="26"/>
              </w:rPr>
              <w:t>Năm 2011</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052D9F2" w14:textId="77777777" w:rsidR="0024390A" w:rsidRPr="0046311B" w:rsidRDefault="0024390A" w:rsidP="0046311B">
            <w:pPr>
              <w:spacing w:before="120" w:after="120"/>
              <w:ind w:right="-161" w:hanging="60"/>
              <w:jc w:val="center"/>
              <w:rPr>
                <w:sz w:val="26"/>
                <w:szCs w:val="26"/>
              </w:rPr>
            </w:pPr>
            <w:r w:rsidRPr="0046311B">
              <w:rPr>
                <w:sz w:val="26"/>
                <w:szCs w:val="26"/>
              </w:rPr>
              <w:t>Năm 2012</w:t>
            </w:r>
          </w:p>
        </w:tc>
        <w:tc>
          <w:tcPr>
            <w:tcW w:w="1563" w:type="dxa"/>
            <w:tcBorders>
              <w:top w:val="single" w:sz="4" w:space="0" w:color="auto"/>
              <w:left w:val="nil"/>
              <w:bottom w:val="single" w:sz="4" w:space="0" w:color="auto"/>
              <w:right w:val="single" w:sz="4" w:space="0" w:color="auto"/>
            </w:tcBorders>
            <w:shd w:val="clear" w:color="auto" w:fill="auto"/>
            <w:noWrap/>
            <w:vAlign w:val="bottom"/>
          </w:tcPr>
          <w:p w14:paraId="457FF1DB" w14:textId="77777777" w:rsidR="0024390A" w:rsidRPr="0046311B" w:rsidRDefault="0024390A" w:rsidP="0046311B">
            <w:pPr>
              <w:spacing w:before="120" w:after="120"/>
              <w:ind w:right="-161" w:hanging="60"/>
              <w:jc w:val="center"/>
              <w:rPr>
                <w:sz w:val="26"/>
                <w:szCs w:val="26"/>
              </w:rPr>
            </w:pPr>
            <w:r w:rsidRPr="0046311B">
              <w:rPr>
                <w:sz w:val="26"/>
                <w:szCs w:val="26"/>
              </w:rPr>
              <w:t>Năm 2013</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586E2956" w14:textId="77777777" w:rsidR="0024390A" w:rsidRPr="0046311B" w:rsidRDefault="0024390A" w:rsidP="0046311B">
            <w:pPr>
              <w:spacing w:before="120" w:after="120"/>
              <w:ind w:right="-161" w:hanging="60"/>
              <w:jc w:val="center"/>
              <w:rPr>
                <w:sz w:val="26"/>
                <w:szCs w:val="26"/>
              </w:rPr>
            </w:pPr>
            <w:r w:rsidRPr="0046311B">
              <w:rPr>
                <w:sz w:val="26"/>
                <w:szCs w:val="26"/>
              </w:rPr>
              <w:t>Năm 2014</w:t>
            </w:r>
          </w:p>
        </w:tc>
      </w:tr>
      <w:tr w:rsidR="00DB6361" w:rsidRPr="0024390A" w14:paraId="5F77DF35" w14:textId="77777777">
        <w:trPr>
          <w:trHeight w:val="340"/>
        </w:trPr>
        <w:tc>
          <w:tcPr>
            <w:tcW w:w="1761" w:type="dxa"/>
            <w:tcBorders>
              <w:top w:val="nil"/>
              <w:left w:val="single" w:sz="4" w:space="0" w:color="auto"/>
              <w:bottom w:val="single" w:sz="4" w:space="0" w:color="auto"/>
              <w:right w:val="single" w:sz="4" w:space="0" w:color="auto"/>
            </w:tcBorders>
            <w:shd w:val="clear" w:color="auto" w:fill="auto"/>
            <w:noWrap/>
            <w:vAlign w:val="bottom"/>
          </w:tcPr>
          <w:p w14:paraId="20D2FEF0" w14:textId="77777777" w:rsidR="0024390A" w:rsidRPr="0046311B" w:rsidRDefault="0024390A" w:rsidP="00223C9A">
            <w:pPr>
              <w:spacing w:before="120" w:after="120"/>
              <w:rPr>
                <w:sz w:val="26"/>
                <w:szCs w:val="26"/>
              </w:rPr>
            </w:pPr>
            <w:r w:rsidRPr="0046311B">
              <w:rPr>
                <w:sz w:val="26"/>
                <w:szCs w:val="26"/>
              </w:rPr>
              <w:t>Kinh phí viện trợ (USD)</w:t>
            </w:r>
          </w:p>
        </w:tc>
        <w:tc>
          <w:tcPr>
            <w:tcW w:w="1492" w:type="dxa"/>
            <w:tcBorders>
              <w:top w:val="nil"/>
              <w:left w:val="nil"/>
              <w:bottom w:val="single" w:sz="4" w:space="0" w:color="auto"/>
              <w:right w:val="single" w:sz="4" w:space="0" w:color="auto"/>
            </w:tcBorders>
            <w:shd w:val="clear" w:color="auto" w:fill="auto"/>
            <w:noWrap/>
            <w:vAlign w:val="bottom"/>
          </w:tcPr>
          <w:p w14:paraId="598B0CD6" w14:textId="77777777" w:rsidR="0024390A" w:rsidRPr="0046311B" w:rsidRDefault="0024390A" w:rsidP="00223C9A">
            <w:pPr>
              <w:spacing w:before="120" w:after="120"/>
              <w:rPr>
                <w:bCs/>
                <w:sz w:val="26"/>
                <w:szCs w:val="26"/>
              </w:rPr>
            </w:pPr>
            <w:r w:rsidRPr="0046311B">
              <w:rPr>
                <w:bCs/>
                <w:sz w:val="26"/>
                <w:szCs w:val="26"/>
              </w:rPr>
              <w:t xml:space="preserve">    18.174.775 </w:t>
            </w:r>
          </w:p>
        </w:tc>
        <w:tc>
          <w:tcPr>
            <w:tcW w:w="1572" w:type="dxa"/>
            <w:tcBorders>
              <w:top w:val="nil"/>
              <w:left w:val="nil"/>
              <w:bottom w:val="single" w:sz="4" w:space="0" w:color="auto"/>
              <w:right w:val="single" w:sz="4" w:space="0" w:color="auto"/>
            </w:tcBorders>
            <w:shd w:val="clear" w:color="auto" w:fill="auto"/>
            <w:noWrap/>
            <w:vAlign w:val="bottom"/>
          </w:tcPr>
          <w:p w14:paraId="46784ACE" w14:textId="77777777" w:rsidR="0024390A" w:rsidRPr="0046311B" w:rsidRDefault="0024390A" w:rsidP="00223C9A">
            <w:pPr>
              <w:spacing w:before="120" w:after="120"/>
              <w:rPr>
                <w:bCs/>
                <w:sz w:val="26"/>
                <w:szCs w:val="26"/>
              </w:rPr>
            </w:pPr>
            <w:r w:rsidRPr="0046311B">
              <w:rPr>
                <w:bCs/>
                <w:sz w:val="26"/>
                <w:szCs w:val="26"/>
              </w:rPr>
              <w:t xml:space="preserve">    16.487.421 </w:t>
            </w:r>
          </w:p>
        </w:tc>
        <w:tc>
          <w:tcPr>
            <w:tcW w:w="1414" w:type="dxa"/>
            <w:tcBorders>
              <w:top w:val="nil"/>
              <w:left w:val="nil"/>
              <w:bottom w:val="single" w:sz="4" w:space="0" w:color="auto"/>
              <w:right w:val="single" w:sz="4" w:space="0" w:color="auto"/>
            </w:tcBorders>
            <w:shd w:val="clear" w:color="auto" w:fill="auto"/>
            <w:noWrap/>
            <w:vAlign w:val="bottom"/>
          </w:tcPr>
          <w:p w14:paraId="0FDA8B3E" w14:textId="77777777" w:rsidR="0024390A" w:rsidRPr="0046311B" w:rsidRDefault="0024390A" w:rsidP="00223C9A">
            <w:pPr>
              <w:spacing w:before="120" w:after="120"/>
              <w:rPr>
                <w:bCs/>
                <w:sz w:val="26"/>
                <w:szCs w:val="26"/>
              </w:rPr>
            </w:pPr>
            <w:r w:rsidRPr="0046311B">
              <w:rPr>
                <w:bCs/>
                <w:sz w:val="26"/>
                <w:szCs w:val="26"/>
              </w:rPr>
              <w:t xml:space="preserve">    12.488.918 </w:t>
            </w:r>
          </w:p>
        </w:tc>
        <w:tc>
          <w:tcPr>
            <w:tcW w:w="1563" w:type="dxa"/>
            <w:tcBorders>
              <w:top w:val="nil"/>
              <w:left w:val="nil"/>
              <w:bottom w:val="single" w:sz="4" w:space="0" w:color="auto"/>
              <w:right w:val="single" w:sz="4" w:space="0" w:color="auto"/>
            </w:tcBorders>
            <w:shd w:val="clear" w:color="auto" w:fill="auto"/>
            <w:noWrap/>
            <w:vAlign w:val="bottom"/>
          </w:tcPr>
          <w:p w14:paraId="4E1C8B29" w14:textId="77777777" w:rsidR="0024390A" w:rsidRPr="0046311B" w:rsidRDefault="0024390A" w:rsidP="00223C9A">
            <w:pPr>
              <w:spacing w:before="120" w:after="120"/>
              <w:rPr>
                <w:bCs/>
                <w:sz w:val="26"/>
                <w:szCs w:val="26"/>
              </w:rPr>
            </w:pPr>
            <w:r w:rsidRPr="0046311B">
              <w:rPr>
                <w:bCs/>
                <w:sz w:val="26"/>
                <w:szCs w:val="26"/>
              </w:rPr>
              <w:t xml:space="preserve">    10.418.652 </w:t>
            </w:r>
          </w:p>
        </w:tc>
        <w:tc>
          <w:tcPr>
            <w:tcW w:w="1385" w:type="dxa"/>
            <w:tcBorders>
              <w:top w:val="nil"/>
              <w:left w:val="nil"/>
              <w:bottom w:val="single" w:sz="4" w:space="0" w:color="auto"/>
              <w:right w:val="single" w:sz="4" w:space="0" w:color="auto"/>
            </w:tcBorders>
            <w:shd w:val="clear" w:color="auto" w:fill="auto"/>
            <w:noWrap/>
            <w:vAlign w:val="bottom"/>
          </w:tcPr>
          <w:p w14:paraId="3813823B" w14:textId="77777777" w:rsidR="0024390A" w:rsidRPr="0046311B" w:rsidRDefault="0024390A" w:rsidP="00223C9A">
            <w:pPr>
              <w:spacing w:before="120" w:after="120"/>
              <w:rPr>
                <w:bCs/>
                <w:sz w:val="26"/>
                <w:szCs w:val="26"/>
              </w:rPr>
            </w:pPr>
            <w:r w:rsidRPr="0046311B">
              <w:rPr>
                <w:bCs/>
                <w:sz w:val="26"/>
                <w:szCs w:val="26"/>
              </w:rPr>
              <w:t xml:space="preserve">    47.402.004 </w:t>
            </w:r>
          </w:p>
        </w:tc>
      </w:tr>
    </w:tbl>
    <w:p w14:paraId="14BAE2ED" w14:textId="77777777" w:rsidR="0024390A" w:rsidRPr="0024390A" w:rsidRDefault="0024390A" w:rsidP="00223C9A">
      <w:pPr>
        <w:spacing w:before="120" w:after="120"/>
        <w:ind w:firstLine="720"/>
        <w:jc w:val="both"/>
        <w:rPr>
          <w:sz w:val="28"/>
          <w:szCs w:val="28"/>
        </w:rPr>
      </w:pPr>
      <w:r w:rsidRPr="0024390A">
        <w:rPr>
          <w:sz w:val="28"/>
          <w:szCs w:val="28"/>
        </w:rPr>
        <w:t>Trong nhiều năm qua, Việt Nam đã tranh thủ được sự hỗ trợ của các tổ chức quốc tế và chính phủ các nước như Chính phủ Luxembour, Chính phủ Nhật Bản, WHO, UNICEF, GAVI, PATH, AMP… Phần lớn viện trợ quốc tế dành cho Việt Nam dưới hình thức tiếp nhận bằng hiện vật bằng vắc xin, vật tư tiêm chủng, dây chuyền lạnh và một phần kinh phí triển khai hỗ trợ cho các địa phương trên toàn quốc. Hỗ trợ Quốc tế cho Việt Nam chiếm tỷ trọng 40 – 60% tổng chi phí cho công tác tiêm chủng mở rộng</w:t>
      </w:r>
      <w:r w:rsidR="008138FF">
        <w:rPr>
          <w:sz w:val="28"/>
          <w:szCs w:val="28"/>
        </w:rPr>
        <w:t>, đ</w:t>
      </w:r>
      <w:r w:rsidRPr="0024390A">
        <w:rPr>
          <w:sz w:val="28"/>
          <w:szCs w:val="28"/>
        </w:rPr>
        <w:t xml:space="preserve">ây cũng là yếu tố quan trọng giúp cho Việt Nam tiếp tục thu hút nguồn đầu tư cho công tác TCMR.  </w:t>
      </w:r>
    </w:p>
    <w:p w14:paraId="60A05C70" w14:textId="77777777" w:rsidR="00BC2087" w:rsidRDefault="00BC2087" w:rsidP="00223C9A">
      <w:pPr>
        <w:pStyle w:val="ListParagraph"/>
        <w:spacing w:before="120" w:after="120" w:line="240" w:lineRule="auto"/>
        <w:ind w:left="0" w:firstLine="720"/>
        <w:contextualSpacing w:val="0"/>
        <w:jc w:val="both"/>
        <w:rPr>
          <w:b/>
          <w:sz w:val="28"/>
          <w:szCs w:val="28"/>
        </w:rPr>
      </w:pPr>
      <w:r>
        <w:rPr>
          <w:b/>
          <w:sz w:val="28"/>
          <w:szCs w:val="28"/>
        </w:rPr>
        <w:t>3. Các thành quả đã đạt được</w:t>
      </w:r>
    </w:p>
    <w:p w14:paraId="03071353" w14:textId="77777777" w:rsidR="0024390A" w:rsidRPr="0024390A" w:rsidRDefault="00BC2087" w:rsidP="00223C9A">
      <w:pPr>
        <w:pStyle w:val="ListParagraph"/>
        <w:spacing w:before="120" w:after="120" w:line="240" w:lineRule="auto"/>
        <w:ind w:left="0" w:firstLine="720"/>
        <w:contextualSpacing w:val="0"/>
        <w:jc w:val="both"/>
        <w:rPr>
          <w:b/>
          <w:sz w:val="28"/>
          <w:szCs w:val="28"/>
        </w:rPr>
      </w:pPr>
      <w:r>
        <w:rPr>
          <w:b/>
          <w:sz w:val="28"/>
          <w:szCs w:val="28"/>
        </w:rPr>
        <w:t xml:space="preserve">3.1. </w:t>
      </w:r>
      <w:r w:rsidR="0024390A" w:rsidRPr="0024390A">
        <w:rPr>
          <w:b/>
          <w:sz w:val="28"/>
          <w:szCs w:val="28"/>
        </w:rPr>
        <w:t>Tăng khả năng tiếp cận của người dân với dịch vụ tiêm chủng miễn phí và các vắc xin mới</w:t>
      </w:r>
    </w:p>
    <w:p w14:paraId="417D1A70" w14:textId="77777777" w:rsidR="00EF7EFB" w:rsidRPr="00FA3F76" w:rsidRDefault="00FA3F76" w:rsidP="00FA3F76">
      <w:pPr>
        <w:spacing w:before="120" w:after="120"/>
        <w:ind w:firstLine="720"/>
        <w:jc w:val="both"/>
        <w:rPr>
          <w:sz w:val="28"/>
          <w:szCs w:val="28"/>
          <w:lang w:val="nl-NL"/>
        </w:rPr>
      </w:pPr>
      <w:r w:rsidRPr="0024390A">
        <w:rPr>
          <w:sz w:val="28"/>
          <w:szCs w:val="28"/>
          <w:lang w:val="nl-NL"/>
        </w:rPr>
        <w:t>Hiện nay, TCMR đã triển khai tại hơn 1</w:t>
      </w:r>
      <w:r>
        <w:rPr>
          <w:sz w:val="28"/>
          <w:szCs w:val="28"/>
          <w:lang w:val="nl-NL"/>
        </w:rPr>
        <w:t xml:space="preserve">1.000 xã phường, 704 quận huyện, </w:t>
      </w:r>
      <w:r w:rsidRPr="0024390A">
        <w:rPr>
          <w:sz w:val="28"/>
          <w:szCs w:val="28"/>
          <w:lang w:val="nl-NL"/>
        </w:rPr>
        <w:t>16.000 điểm tiêm chủng trên toàn</w:t>
      </w:r>
      <w:r>
        <w:rPr>
          <w:sz w:val="28"/>
          <w:szCs w:val="28"/>
          <w:lang w:val="nl-NL"/>
        </w:rPr>
        <w:t xml:space="preserve"> quốc</w:t>
      </w:r>
      <w:r w:rsidRPr="0024390A">
        <w:rPr>
          <w:sz w:val="28"/>
          <w:szCs w:val="28"/>
          <w:lang w:val="nl-NL"/>
        </w:rPr>
        <w:t xml:space="preserve">. </w:t>
      </w:r>
      <w:r>
        <w:rPr>
          <w:sz w:val="28"/>
          <w:szCs w:val="28"/>
          <w:lang w:val="nl-NL"/>
        </w:rPr>
        <w:t xml:space="preserve">Do vậy cần </w:t>
      </w:r>
      <w:r>
        <w:rPr>
          <w:sz w:val="28"/>
          <w:szCs w:val="28"/>
        </w:rPr>
        <w:t>t</w:t>
      </w:r>
      <w:r w:rsidR="0024390A" w:rsidRPr="0024390A">
        <w:rPr>
          <w:sz w:val="28"/>
          <w:szCs w:val="28"/>
        </w:rPr>
        <w:t>iếp tục duy trì diện bao phủ TCMR tại 100% xã, phường</w:t>
      </w:r>
      <w:r>
        <w:rPr>
          <w:sz w:val="28"/>
          <w:szCs w:val="28"/>
        </w:rPr>
        <w:t xml:space="preserve"> và t</w:t>
      </w:r>
      <w:r w:rsidRPr="0024390A">
        <w:rPr>
          <w:sz w:val="28"/>
          <w:szCs w:val="28"/>
          <w:lang w:val="nl-NL"/>
        </w:rPr>
        <w:t xml:space="preserve">ỷ lệ tiêm chủng đầy đủ cho trẻ dưới 1 </w:t>
      </w:r>
      <w:r w:rsidRPr="0024390A">
        <w:rPr>
          <w:sz w:val="28"/>
          <w:szCs w:val="28"/>
          <w:lang w:val="nl-NL"/>
        </w:rPr>
        <w:lastRenderedPageBreak/>
        <w:t xml:space="preserve">tuổi trên 90% </w:t>
      </w:r>
      <w:r w:rsidR="008138FF">
        <w:rPr>
          <w:sz w:val="28"/>
          <w:szCs w:val="28"/>
        </w:rPr>
        <w:t>để</w:t>
      </w:r>
      <w:r w:rsidR="0024390A" w:rsidRPr="0024390A">
        <w:rPr>
          <w:sz w:val="28"/>
          <w:szCs w:val="28"/>
        </w:rPr>
        <w:t xml:space="preserve"> trẻ em, phụ nữ trên toàn quốc có cơ hội tiếp cận với tiêm chủng miễn phí phòng </w:t>
      </w:r>
      <w:r w:rsidR="008138FF">
        <w:rPr>
          <w:sz w:val="28"/>
          <w:szCs w:val="28"/>
        </w:rPr>
        <w:t>các bệnh truyền nhiễm nguy hiểm</w:t>
      </w:r>
      <w:r w:rsidR="0024390A" w:rsidRPr="0024390A">
        <w:rPr>
          <w:sz w:val="28"/>
          <w:szCs w:val="28"/>
        </w:rPr>
        <w:t>.</w:t>
      </w:r>
      <w:r w:rsidR="00F71D5D">
        <w:rPr>
          <w:sz w:val="28"/>
          <w:szCs w:val="28"/>
        </w:rPr>
        <w:t xml:space="preserve"> </w:t>
      </w:r>
      <w:r w:rsidR="0024390A" w:rsidRPr="0024390A">
        <w:rPr>
          <w:sz w:val="28"/>
          <w:szCs w:val="28"/>
        </w:rPr>
        <w:t>Bên cạnh đó, việc đưa các vắc xin mới vào TCMR đã giúp cho trẻ em Việt Nam có thêm cơ hội được phòng các bệnh truyền nhiễm nguy hiểm</w:t>
      </w:r>
      <w:r w:rsidR="00795E39">
        <w:rPr>
          <w:sz w:val="28"/>
          <w:szCs w:val="28"/>
        </w:rPr>
        <w:t>, đ</w:t>
      </w:r>
      <w:r w:rsidR="00F71D5D">
        <w:rPr>
          <w:sz w:val="28"/>
          <w:szCs w:val="28"/>
        </w:rPr>
        <w:t>ến nay đã tr</w:t>
      </w:r>
      <w:r w:rsidR="0024390A" w:rsidRPr="0024390A">
        <w:rPr>
          <w:sz w:val="28"/>
          <w:szCs w:val="28"/>
        </w:rPr>
        <w:t xml:space="preserve">iển khai 12 </w:t>
      </w:r>
      <w:r w:rsidR="00F71D5D">
        <w:rPr>
          <w:sz w:val="28"/>
          <w:szCs w:val="28"/>
        </w:rPr>
        <w:t xml:space="preserve">loại vắc xin </w:t>
      </w:r>
      <w:r w:rsidR="0024390A" w:rsidRPr="0024390A">
        <w:rPr>
          <w:sz w:val="28"/>
          <w:szCs w:val="28"/>
        </w:rPr>
        <w:t>trong TCMR.</w:t>
      </w:r>
    </w:p>
    <w:p w14:paraId="776C18DF" w14:textId="77777777" w:rsidR="0024390A" w:rsidRPr="0024390A" w:rsidRDefault="0024390A" w:rsidP="00223C9A">
      <w:pPr>
        <w:spacing w:before="120" w:after="120"/>
        <w:ind w:firstLine="720"/>
        <w:jc w:val="both"/>
        <w:rPr>
          <w:sz w:val="28"/>
          <w:szCs w:val="28"/>
          <w:lang w:val="nl-NL"/>
        </w:rPr>
      </w:pPr>
      <w:r w:rsidRPr="0024390A">
        <w:rPr>
          <w:sz w:val="28"/>
          <w:szCs w:val="28"/>
          <w:lang w:val="nl-NL"/>
        </w:rPr>
        <w:t>Nhờ triển khai tốt công tác tiêm chủng vắc xin phòng bệnh, Việt Nam tiếp tục duy trì thành quả thanh toán bại liệt, loại trừ uốn ván sơ sinh. Giảm một cách rõ rệt tỷ lệ mắc, chết nhiều bệnh truyền nhiễm nguy hiểm trong TCMR ở trẻ em. Bệnh sởi và bệnh rubella được khống chế; Tỷ lệ mắc các bệnh bạch hầu, ho gà ở mức thấp và liên tục giảm qua các năm tương ứng 410 lần và 844 lần so với trước khi triển khai TCMR. Tỷ lệ mắc viêm gan B ở trẻ dưới 5 tuổi đạt chỉ tiêu &lt;1% của Tổ chức Y tế thế giới khu vực Tây Thái Bình Dương vào năm 2012.</w:t>
      </w:r>
    </w:p>
    <w:p w14:paraId="09032038" w14:textId="77777777" w:rsidR="0024390A" w:rsidRPr="00F642E0" w:rsidRDefault="00F642E0" w:rsidP="00223C9A">
      <w:pPr>
        <w:pStyle w:val="ListParagraph"/>
        <w:spacing w:before="120" w:after="120" w:line="240" w:lineRule="auto"/>
        <w:ind w:left="0" w:firstLine="720"/>
        <w:contextualSpacing w:val="0"/>
        <w:jc w:val="both"/>
        <w:rPr>
          <w:b/>
          <w:sz w:val="28"/>
          <w:szCs w:val="28"/>
          <w:lang w:val="nl-NL"/>
        </w:rPr>
      </w:pPr>
      <w:r w:rsidRPr="00F642E0">
        <w:rPr>
          <w:b/>
          <w:sz w:val="28"/>
          <w:szCs w:val="28"/>
          <w:lang w:val="nl-NL"/>
        </w:rPr>
        <w:t>3.</w:t>
      </w:r>
      <w:r w:rsidR="00795E39">
        <w:rPr>
          <w:b/>
          <w:sz w:val="28"/>
          <w:szCs w:val="28"/>
          <w:lang w:val="nl-NL"/>
        </w:rPr>
        <w:t>2</w:t>
      </w:r>
      <w:r w:rsidRPr="00F642E0">
        <w:rPr>
          <w:b/>
          <w:sz w:val="28"/>
          <w:szCs w:val="28"/>
          <w:lang w:val="nl-NL"/>
        </w:rPr>
        <w:t xml:space="preserve">. </w:t>
      </w:r>
      <w:r w:rsidR="0024390A" w:rsidRPr="00F642E0">
        <w:rPr>
          <w:b/>
          <w:sz w:val="28"/>
          <w:szCs w:val="28"/>
          <w:lang w:val="nl-NL"/>
        </w:rPr>
        <w:t>Tác động của chương trình và ước tính chi phí – hiệu quả</w:t>
      </w:r>
    </w:p>
    <w:p w14:paraId="57F7CBE6" w14:textId="77777777" w:rsidR="0024390A" w:rsidRPr="0024390A" w:rsidRDefault="0024390A" w:rsidP="00223C9A">
      <w:pPr>
        <w:spacing w:before="120" w:after="120"/>
        <w:ind w:firstLine="720"/>
        <w:jc w:val="both"/>
        <w:rPr>
          <w:sz w:val="28"/>
          <w:szCs w:val="28"/>
          <w:lang w:val="nl-NL"/>
        </w:rPr>
      </w:pPr>
      <w:r w:rsidRPr="0024390A">
        <w:rPr>
          <w:sz w:val="28"/>
          <w:szCs w:val="28"/>
          <w:lang w:val="nl-NL"/>
        </w:rPr>
        <w:t xml:space="preserve">Trong những năm qua, nhờ triển khai vắc xin trên diện rộng trong tiêm chủng thường xuyên và tiêm chủng chiến dịch nhiều trẻ em và phụ nữ Việt Nam đã được bảo vệ khỏi bệnh tật và tàn phế, nhiều trẻ được cứu sống giúp làm giảm gánh nặng kinh tế và xã hội. Bên cạnh những ích lợi trực tiếp và gián tiếp của vắc xin trong việc làm giảm tỷ lệ mắc và tử vong của các bệnh nhiễm trùng, còn có những tác động lâu dài cho cá nhân và cộng đồng, như tăng khả năng và năng suất lao động do không bị ốm đau, đặc biệt giảm thời gian và công sức của phụ nữ do không phải chăm sóc trẻ bị bệnh cũng như tăng chất lượng sức khỏe của các thế hệ trẻ em Việt Nam. TCMR được đánh giá là một trong những Chương trình y tế có hiệu quả nhất, góp phần đảm bảo tính công bằng trong chăm sóc y tế, giảm tỷ lệ mắc và chết của những bệnh có thể dự phòng bằng vắc xin, thay đổi cơ cấu bệnh tật, giảm tỷ lệ từ vong ở trẻ dưới 5 tuổi, góp phần cho Việt Nam sớm đạt mục tiêu thứ 4 của thiên niên kỷ. </w:t>
      </w:r>
    </w:p>
    <w:p w14:paraId="5856224D" w14:textId="77777777" w:rsidR="00F642E0" w:rsidRDefault="00795E39" w:rsidP="00223C9A">
      <w:pPr>
        <w:spacing w:before="120" w:after="120"/>
        <w:ind w:firstLine="720"/>
        <w:jc w:val="both"/>
        <w:outlineLvl w:val="0"/>
        <w:rPr>
          <w:b/>
          <w:bCs/>
          <w:iCs/>
          <w:sz w:val="28"/>
          <w:szCs w:val="28"/>
        </w:rPr>
      </w:pPr>
      <w:r>
        <w:rPr>
          <w:b/>
          <w:bCs/>
          <w:iCs/>
          <w:sz w:val="28"/>
          <w:szCs w:val="28"/>
        </w:rPr>
        <w:t>4</w:t>
      </w:r>
      <w:r w:rsidR="00B0793F" w:rsidRPr="00C34052">
        <w:rPr>
          <w:b/>
          <w:bCs/>
          <w:iCs/>
          <w:sz w:val="28"/>
          <w:szCs w:val="28"/>
        </w:rPr>
        <w:t xml:space="preserve">. </w:t>
      </w:r>
      <w:r w:rsidR="003D5E06">
        <w:rPr>
          <w:b/>
          <w:bCs/>
          <w:iCs/>
          <w:sz w:val="28"/>
          <w:szCs w:val="28"/>
        </w:rPr>
        <w:t xml:space="preserve">Những </w:t>
      </w:r>
      <w:r w:rsidR="00F642E0">
        <w:rPr>
          <w:b/>
          <w:bCs/>
          <w:iCs/>
          <w:sz w:val="28"/>
          <w:szCs w:val="28"/>
        </w:rPr>
        <w:t>khó khăn, thách thức trong việc triển khai công tác tiêm chủng</w:t>
      </w:r>
    </w:p>
    <w:p w14:paraId="7B6EC573" w14:textId="77777777" w:rsidR="00F642E0" w:rsidRPr="00F642E0" w:rsidRDefault="00800DBB" w:rsidP="00223C9A">
      <w:pPr>
        <w:spacing w:before="120" w:after="120"/>
        <w:ind w:firstLine="720"/>
        <w:jc w:val="both"/>
        <w:rPr>
          <w:sz w:val="28"/>
          <w:szCs w:val="28"/>
        </w:rPr>
      </w:pPr>
      <w:r>
        <w:rPr>
          <w:sz w:val="28"/>
          <w:szCs w:val="28"/>
        </w:rPr>
        <w:t>-</w:t>
      </w:r>
      <w:r w:rsidR="00F642E0">
        <w:rPr>
          <w:sz w:val="28"/>
          <w:szCs w:val="28"/>
        </w:rPr>
        <w:t xml:space="preserve"> </w:t>
      </w:r>
      <w:r w:rsidR="00F642E0" w:rsidRPr="00F642E0">
        <w:rPr>
          <w:sz w:val="28"/>
          <w:szCs w:val="28"/>
        </w:rPr>
        <w:t xml:space="preserve">Chất lượng dịch vụ TCMR tại các vùng miền núi, vùng sâu, vùng xa, vùng khó khăn tiếp tục là thách thức lớn với công tác TCMR mặc dù đã có nhiều hoạt động ưu tiên cho các vùng kể trên. </w:t>
      </w:r>
    </w:p>
    <w:p w14:paraId="6399D90B" w14:textId="77777777" w:rsidR="00F642E0" w:rsidRPr="00F642E0" w:rsidRDefault="00800DBB" w:rsidP="00223C9A">
      <w:pPr>
        <w:spacing w:before="120" w:after="120"/>
        <w:ind w:firstLine="720"/>
        <w:jc w:val="both"/>
        <w:rPr>
          <w:sz w:val="28"/>
          <w:szCs w:val="28"/>
        </w:rPr>
      </w:pPr>
      <w:r>
        <w:rPr>
          <w:sz w:val="28"/>
          <w:szCs w:val="28"/>
        </w:rPr>
        <w:t>-</w:t>
      </w:r>
      <w:r w:rsidR="00F642E0">
        <w:rPr>
          <w:sz w:val="28"/>
          <w:szCs w:val="28"/>
        </w:rPr>
        <w:t xml:space="preserve"> </w:t>
      </w:r>
      <w:r w:rsidR="00F642E0" w:rsidRPr="00F642E0">
        <w:rPr>
          <w:sz w:val="28"/>
          <w:szCs w:val="28"/>
        </w:rPr>
        <w:t xml:space="preserve">Ảnh hưởng của một số </w:t>
      </w:r>
      <w:r w:rsidR="00FA3F76">
        <w:rPr>
          <w:sz w:val="28"/>
          <w:szCs w:val="28"/>
        </w:rPr>
        <w:t>tai biến</w:t>
      </w:r>
      <w:r w:rsidR="00F642E0" w:rsidRPr="00F642E0">
        <w:rPr>
          <w:sz w:val="28"/>
          <w:szCs w:val="28"/>
        </w:rPr>
        <w:t xml:space="preserve"> nặng sau tiêm chủng gây ra tâm lý lo ngại cho các bà mẹ khi đưa con đi tiêm chủng, cán bộ y tế dè dặt khi thực hiện chỉ định tiêm chủng... nên việc đạt và duy trì tỷ lệ tiêm chủng cao cho trẻ em và phụ nữ</w:t>
      </w:r>
      <w:r w:rsidR="00FA3F76">
        <w:rPr>
          <w:sz w:val="28"/>
          <w:szCs w:val="28"/>
        </w:rPr>
        <w:t xml:space="preserve"> sẽ khó khăn</w:t>
      </w:r>
      <w:r w:rsidR="00F642E0" w:rsidRPr="00F642E0">
        <w:rPr>
          <w:sz w:val="28"/>
          <w:szCs w:val="28"/>
        </w:rPr>
        <w:t>.</w:t>
      </w:r>
    </w:p>
    <w:p w14:paraId="20285609" w14:textId="77777777" w:rsidR="00F642E0" w:rsidRPr="00F642E0" w:rsidRDefault="00800DBB" w:rsidP="00223C9A">
      <w:pPr>
        <w:spacing w:before="120" w:after="120"/>
        <w:ind w:firstLine="720"/>
        <w:jc w:val="both"/>
        <w:rPr>
          <w:sz w:val="28"/>
          <w:szCs w:val="28"/>
        </w:rPr>
      </w:pPr>
      <w:r>
        <w:rPr>
          <w:sz w:val="28"/>
          <w:szCs w:val="28"/>
        </w:rPr>
        <w:t>-</w:t>
      </w:r>
      <w:r w:rsidR="00F642E0">
        <w:rPr>
          <w:sz w:val="28"/>
          <w:szCs w:val="28"/>
        </w:rPr>
        <w:t xml:space="preserve"> </w:t>
      </w:r>
      <w:r w:rsidR="00F642E0" w:rsidRPr="00F642E0">
        <w:rPr>
          <w:sz w:val="28"/>
          <w:szCs w:val="28"/>
        </w:rPr>
        <w:t xml:space="preserve">Tâm lý chờ đợi tiêm vắc xin dịch vụ dẫn đến sự trì hoãn các mũi tiêm của các bậc phụ huynh tại một số địa bàn thành phố khiến cho trẻ tiêm chủng muộn, tiêm chủng không đủ mũi, làm gia tăng nguy cơ lây nhiễm bệnh và xảy dịch. </w:t>
      </w:r>
    </w:p>
    <w:p w14:paraId="46796558" w14:textId="3D8A5483" w:rsidR="00F642E0" w:rsidRPr="00F642E0" w:rsidRDefault="00800DBB" w:rsidP="00223C9A">
      <w:pPr>
        <w:spacing w:before="120" w:after="120"/>
        <w:ind w:firstLine="720"/>
        <w:jc w:val="both"/>
        <w:rPr>
          <w:sz w:val="28"/>
          <w:szCs w:val="28"/>
        </w:rPr>
      </w:pPr>
      <w:r>
        <w:rPr>
          <w:sz w:val="28"/>
          <w:szCs w:val="28"/>
        </w:rPr>
        <w:t>-</w:t>
      </w:r>
      <w:r w:rsidR="00F642E0">
        <w:rPr>
          <w:sz w:val="28"/>
          <w:szCs w:val="28"/>
        </w:rPr>
        <w:t xml:space="preserve"> </w:t>
      </w:r>
      <w:r w:rsidR="00B21CEB" w:rsidRPr="00F642E0">
        <w:rPr>
          <w:sz w:val="28"/>
          <w:szCs w:val="28"/>
        </w:rPr>
        <w:t>Đội ngũ cán bộ làm TCMR</w:t>
      </w:r>
      <w:r w:rsidR="00B21CEB">
        <w:rPr>
          <w:sz w:val="28"/>
          <w:szCs w:val="28"/>
        </w:rPr>
        <w:t>,</w:t>
      </w:r>
      <w:r w:rsidR="00FA3F76">
        <w:rPr>
          <w:sz w:val="28"/>
          <w:szCs w:val="28"/>
        </w:rPr>
        <w:t xml:space="preserve"> </w:t>
      </w:r>
      <w:r w:rsidR="00F642E0" w:rsidRPr="00F642E0">
        <w:rPr>
          <w:sz w:val="28"/>
          <w:szCs w:val="28"/>
        </w:rPr>
        <w:t>tham gia giám sát bệnh tại tuyến cơ sở thay</w:t>
      </w:r>
      <w:r w:rsidR="001D53FE">
        <w:rPr>
          <w:sz w:val="28"/>
          <w:szCs w:val="28"/>
        </w:rPr>
        <w:t xml:space="preserve"> đổi nhiều, chưa được tập huấn, c</w:t>
      </w:r>
      <w:r w:rsidR="00F642E0" w:rsidRPr="00F642E0">
        <w:rPr>
          <w:sz w:val="28"/>
          <w:szCs w:val="28"/>
        </w:rPr>
        <w:t>ông tác giám sát hỗ trợ kỹ thuật ở các tuyến còn hạn chế.</w:t>
      </w:r>
    </w:p>
    <w:p w14:paraId="3A31C526" w14:textId="77777777" w:rsidR="00F642E0" w:rsidRPr="00F642E0" w:rsidRDefault="00800DBB" w:rsidP="00223C9A">
      <w:pPr>
        <w:spacing w:before="120" w:after="120"/>
        <w:ind w:firstLine="720"/>
        <w:jc w:val="both"/>
        <w:rPr>
          <w:sz w:val="28"/>
          <w:szCs w:val="28"/>
        </w:rPr>
      </w:pPr>
      <w:r>
        <w:rPr>
          <w:sz w:val="28"/>
          <w:szCs w:val="28"/>
        </w:rPr>
        <w:lastRenderedPageBreak/>
        <w:t>-</w:t>
      </w:r>
      <w:r w:rsidR="00F642E0">
        <w:rPr>
          <w:sz w:val="28"/>
          <w:szCs w:val="28"/>
        </w:rPr>
        <w:t xml:space="preserve"> </w:t>
      </w:r>
      <w:r w:rsidR="00F642E0" w:rsidRPr="00F642E0">
        <w:rPr>
          <w:sz w:val="28"/>
          <w:szCs w:val="28"/>
        </w:rPr>
        <w:t>Thiếu kinh phí đáp ứng nhu cầu của TCMR đặc biệt khi hỗ trợ quốc tế sẽ giảm dần khi Việt Nam là nước có thu nhập trung bình. Kinh phí hỗ trợ cho cán bộ y tế làm TCMR tuyến xã thấp, thiếu kinh phí chi trả vận chuyển vắc xin tới các điểm tiêm chủng ngoài trạm…</w:t>
      </w:r>
    </w:p>
    <w:p w14:paraId="22651707" w14:textId="77777777" w:rsidR="00F642E0" w:rsidRPr="00F642E0" w:rsidRDefault="00800DBB" w:rsidP="00223C9A">
      <w:pPr>
        <w:spacing w:before="120" w:after="120"/>
        <w:ind w:firstLine="720"/>
        <w:jc w:val="both"/>
        <w:rPr>
          <w:sz w:val="28"/>
          <w:szCs w:val="28"/>
        </w:rPr>
      </w:pPr>
      <w:r>
        <w:rPr>
          <w:sz w:val="28"/>
          <w:szCs w:val="28"/>
        </w:rPr>
        <w:t>-</w:t>
      </w:r>
      <w:r w:rsidR="00F642E0">
        <w:rPr>
          <w:sz w:val="28"/>
          <w:szCs w:val="28"/>
        </w:rPr>
        <w:t xml:space="preserve"> </w:t>
      </w:r>
      <w:r w:rsidR="00F642E0" w:rsidRPr="00F642E0">
        <w:rPr>
          <w:sz w:val="28"/>
          <w:szCs w:val="28"/>
        </w:rPr>
        <w:t xml:space="preserve">Nhiều bệnh có vắc xin phòng các bệnh truyền nhiễm nguy hiểm và phổ biến ở trẻ em chưa được triển khai trong </w:t>
      </w:r>
      <w:r w:rsidR="007C1DC2">
        <w:rPr>
          <w:sz w:val="28"/>
          <w:szCs w:val="28"/>
        </w:rPr>
        <w:t>t</w:t>
      </w:r>
      <w:r w:rsidR="00F642E0" w:rsidRPr="00F642E0">
        <w:rPr>
          <w:sz w:val="28"/>
          <w:szCs w:val="28"/>
        </w:rPr>
        <w:t>iêm chủng mở rộng như vắc xin Rota phòng tiêu chảy, vắc xin phế cầu phòng bệnh viêm phổi…</w:t>
      </w:r>
    </w:p>
    <w:p w14:paraId="1B312151" w14:textId="77777777" w:rsidR="00F642E0" w:rsidRPr="00F642E0" w:rsidRDefault="00800DBB" w:rsidP="00223C9A">
      <w:pPr>
        <w:spacing w:before="120" w:after="120"/>
        <w:ind w:firstLine="720"/>
        <w:jc w:val="both"/>
        <w:rPr>
          <w:sz w:val="28"/>
          <w:szCs w:val="28"/>
          <w:lang w:val="nl-NL"/>
        </w:rPr>
      </w:pPr>
      <w:r>
        <w:rPr>
          <w:sz w:val="28"/>
          <w:szCs w:val="28"/>
        </w:rPr>
        <w:t>-</w:t>
      </w:r>
      <w:r w:rsidR="00F642E0">
        <w:rPr>
          <w:sz w:val="28"/>
          <w:szCs w:val="28"/>
        </w:rPr>
        <w:t xml:space="preserve"> </w:t>
      </w:r>
      <w:r w:rsidR="00F642E0" w:rsidRPr="00F642E0">
        <w:rPr>
          <w:sz w:val="28"/>
          <w:szCs w:val="28"/>
        </w:rPr>
        <w:t>Nhu cầu của người dân về chất lượng của vắc xin và an toàn tiêm chủng ngày càng cao, đã gián tiếp gây ra áp lực cho cán bộ y tế làm tiêm chủng mở rộng. Nhiều cán bộ làm TCMR đã có tâm lý lo ngại và mong muốn chuyển công tác khác.</w:t>
      </w:r>
    </w:p>
    <w:p w14:paraId="46D7D5A0" w14:textId="77777777" w:rsidR="005505D1" w:rsidRDefault="00CD529A" w:rsidP="00223C9A">
      <w:pPr>
        <w:spacing w:before="120" w:after="120"/>
        <w:ind w:firstLine="720"/>
        <w:rPr>
          <w:b/>
          <w:bCs/>
          <w:color w:val="000000"/>
          <w:spacing w:val="-2"/>
          <w:sz w:val="28"/>
          <w:szCs w:val="28"/>
          <w:lang w:val="de-DE"/>
        </w:rPr>
      </w:pPr>
      <w:r>
        <w:rPr>
          <w:b/>
          <w:bCs/>
          <w:color w:val="000000"/>
          <w:spacing w:val="-2"/>
          <w:sz w:val="28"/>
          <w:szCs w:val="28"/>
          <w:lang w:val="de-DE"/>
        </w:rPr>
        <w:t>II</w:t>
      </w:r>
      <w:r w:rsidR="005505D1" w:rsidRPr="00C34052">
        <w:rPr>
          <w:b/>
          <w:bCs/>
          <w:color w:val="000000"/>
          <w:spacing w:val="-2"/>
          <w:sz w:val="28"/>
          <w:szCs w:val="28"/>
          <w:lang w:val="de-DE"/>
        </w:rPr>
        <w:t xml:space="preserve">I. </w:t>
      </w:r>
      <w:r>
        <w:rPr>
          <w:b/>
          <w:bCs/>
          <w:color w:val="000000"/>
          <w:spacing w:val="-2"/>
          <w:sz w:val="28"/>
          <w:szCs w:val="28"/>
          <w:lang w:val="de-DE"/>
        </w:rPr>
        <w:t xml:space="preserve">KẾT LUẬN VÀ </w:t>
      </w:r>
      <w:r w:rsidR="005505D1" w:rsidRPr="00C34052">
        <w:rPr>
          <w:b/>
          <w:bCs/>
          <w:color w:val="000000"/>
          <w:spacing w:val="-2"/>
          <w:sz w:val="28"/>
          <w:szCs w:val="28"/>
          <w:lang w:val="de-DE"/>
        </w:rPr>
        <w:t>KIẾN NGHỊ</w:t>
      </w:r>
    </w:p>
    <w:p w14:paraId="612B339D" w14:textId="77777777" w:rsidR="000335F8" w:rsidRPr="00C34052" w:rsidRDefault="000335F8" w:rsidP="00223C9A">
      <w:pPr>
        <w:spacing w:before="120" w:after="120"/>
        <w:ind w:firstLine="720"/>
        <w:rPr>
          <w:b/>
          <w:bCs/>
          <w:color w:val="000000"/>
          <w:spacing w:val="-2"/>
          <w:sz w:val="28"/>
          <w:szCs w:val="28"/>
          <w:lang w:val="de-DE"/>
        </w:rPr>
      </w:pPr>
      <w:r>
        <w:rPr>
          <w:b/>
          <w:bCs/>
          <w:color w:val="000000"/>
          <w:spacing w:val="-2"/>
          <w:sz w:val="28"/>
          <w:szCs w:val="28"/>
          <w:lang w:val="de-DE"/>
        </w:rPr>
        <w:t>1. Kết luận</w:t>
      </w:r>
    </w:p>
    <w:p w14:paraId="5167FBBB" w14:textId="77777777" w:rsidR="005505D1" w:rsidRPr="00A366B4" w:rsidRDefault="005505D1" w:rsidP="00223C9A">
      <w:pPr>
        <w:spacing w:before="120" w:after="120"/>
        <w:ind w:firstLine="720"/>
        <w:jc w:val="both"/>
        <w:outlineLvl w:val="0"/>
        <w:rPr>
          <w:b/>
          <w:bCs/>
          <w:iCs/>
          <w:sz w:val="28"/>
          <w:szCs w:val="28"/>
        </w:rPr>
      </w:pPr>
      <w:r>
        <w:rPr>
          <w:sz w:val="28"/>
          <w:szCs w:val="28"/>
        </w:rPr>
        <w:t xml:space="preserve">Thực hiện </w:t>
      </w:r>
      <w:r w:rsidR="00F642E0">
        <w:rPr>
          <w:sz w:val="28"/>
          <w:szCs w:val="28"/>
        </w:rPr>
        <w:t>Luật Phòng, chống bệnh truyền nhiễm</w:t>
      </w:r>
      <w:r>
        <w:rPr>
          <w:sz w:val="28"/>
          <w:szCs w:val="28"/>
        </w:rPr>
        <w:t xml:space="preserve"> Bộ Y tế đã ban hành các thông tư và các kế hoạch hướng dẫn </w:t>
      </w:r>
      <w:r w:rsidR="00F642E0">
        <w:rPr>
          <w:sz w:val="28"/>
          <w:szCs w:val="28"/>
        </w:rPr>
        <w:t>triển khai thực hiện công tác tiêm chủng</w:t>
      </w:r>
      <w:r w:rsidR="00464A8C">
        <w:rPr>
          <w:sz w:val="28"/>
          <w:szCs w:val="28"/>
        </w:rPr>
        <w:t xml:space="preserve"> từ năm 2008 đến nay </w:t>
      </w:r>
      <w:r>
        <w:rPr>
          <w:sz w:val="28"/>
          <w:szCs w:val="28"/>
        </w:rPr>
        <w:t>theo đúng các qui định của Pháp luật.</w:t>
      </w:r>
    </w:p>
    <w:p w14:paraId="1D310BC7" w14:textId="77777777" w:rsidR="005505D1" w:rsidRDefault="005505D1" w:rsidP="00223C9A">
      <w:pPr>
        <w:spacing w:before="120" w:after="120"/>
        <w:ind w:firstLine="720"/>
        <w:jc w:val="both"/>
        <w:rPr>
          <w:sz w:val="28"/>
          <w:szCs w:val="28"/>
        </w:rPr>
      </w:pPr>
      <w:r>
        <w:rPr>
          <w:sz w:val="28"/>
          <w:szCs w:val="28"/>
        </w:rPr>
        <w:t xml:space="preserve">- Trong quá trình tổ chức triển khai </w:t>
      </w:r>
      <w:r w:rsidR="00464A8C">
        <w:rPr>
          <w:sz w:val="28"/>
          <w:szCs w:val="28"/>
        </w:rPr>
        <w:t>thực hiện tiêm chủng</w:t>
      </w:r>
      <w:r>
        <w:rPr>
          <w:sz w:val="28"/>
          <w:szCs w:val="28"/>
        </w:rPr>
        <w:t xml:space="preserve"> </w:t>
      </w:r>
      <w:r w:rsidR="00FA3F76">
        <w:rPr>
          <w:sz w:val="28"/>
          <w:szCs w:val="28"/>
        </w:rPr>
        <w:t>đều diễn ra thuận lợi</w:t>
      </w:r>
      <w:r>
        <w:rPr>
          <w:sz w:val="28"/>
          <w:szCs w:val="28"/>
        </w:rPr>
        <w:t xml:space="preserve"> không có khiếu kiện và dấu hiệu vi phạm các qui định </w:t>
      </w:r>
      <w:r w:rsidR="00464A8C">
        <w:rPr>
          <w:sz w:val="28"/>
          <w:szCs w:val="28"/>
        </w:rPr>
        <w:t xml:space="preserve">góp phần </w:t>
      </w:r>
      <w:r>
        <w:rPr>
          <w:sz w:val="28"/>
          <w:szCs w:val="28"/>
        </w:rPr>
        <w:t>chăm sóc, bảo vệ và nâng cao sức khỏe nhân dân.</w:t>
      </w:r>
    </w:p>
    <w:p w14:paraId="7D9D98C5" w14:textId="77777777" w:rsidR="005505D1" w:rsidRPr="002F518F" w:rsidRDefault="005505D1" w:rsidP="00223C9A">
      <w:pPr>
        <w:spacing w:before="120" w:after="120"/>
        <w:ind w:firstLine="720"/>
        <w:jc w:val="both"/>
        <w:rPr>
          <w:spacing w:val="-2"/>
          <w:sz w:val="28"/>
          <w:szCs w:val="28"/>
        </w:rPr>
      </w:pPr>
      <w:r w:rsidRPr="002F518F">
        <w:rPr>
          <w:spacing w:val="-2"/>
          <w:sz w:val="28"/>
          <w:szCs w:val="28"/>
        </w:rPr>
        <w:t xml:space="preserve">- Thực tiễn về việc xây dựng các văn bản qui phạm pháp luật hướng dẫn và quá trình </w:t>
      </w:r>
      <w:r w:rsidR="00464A8C">
        <w:rPr>
          <w:spacing w:val="-2"/>
          <w:sz w:val="28"/>
          <w:szCs w:val="28"/>
        </w:rPr>
        <w:t xml:space="preserve">triển khai </w:t>
      </w:r>
      <w:r w:rsidRPr="002F518F">
        <w:rPr>
          <w:spacing w:val="-2"/>
          <w:sz w:val="28"/>
          <w:szCs w:val="28"/>
        </w:rPr>
        <w:t xml:space="preserve">thực hiện </w:t>
      </w:r>
      <w:r w:rsidR="00464A8C">
        <w:rPr>
          <w:spacing w:val="-2"/>
          <w:sz w:val="28"/>
          <w:szCs w:val="28"/>
        </w:rPr>
        <w:t xml:space="preserve">công tác tiêm chủng </w:t>
      </w:r>
      <w:r w:rsidRPr="002F518F">
        <w:rPr>
          <w:spacing w:val="-2"/>
          <w:sz w:val="28"/>
          <w:szCs w:val="28"/>
        </w:rPr>
        <w:t>là cơ sở</w:t>
      </w:r>
      <w:r w:rsidR="00216301">
        <w:rPr>
          <w:spacing w:val="-2"/>
          <w:sz w:val="28"/>
          <w:szCs w:val="28"/>
        </w:rPr>
        <w:t>,</w:t>
      </w:r>
      <w:r w:rsidRPr="002F518F">
        <w:rPr>
          <w:spacing w:val="-2"/>
          <w:sz w:val="28"/>
          <w:szCs w:val="28"/>
        </w:rPr>
        <w:t xml:space="preserve"> điều kiện quan trọng trong quá trình hoàn thiện, thống nhất các văn bản hướng dẫn về </w:t>
      </w:r>
      <w:r w:rsidR="00464A8C">
        <w:rPr>
          <w:spacing w:val="-2"/>
          <w:sz w:val="28"/>
          <w:szCs w:val="28"/>
        </w:rPr>
        <w:t>tiêm chủng</w:t>
      </w:r>
      <w:r w:rsidRPr="002F518F">
        <w:rPr>
          <w:spacing w:val="-2"/>
          <w:sz w:val="28"/>
          <w:szCs w:val="28"/>
        </w:rPr>
        <w:t xml:space="preserve"> của ngành y tế nói riêng và sự thống nhất thực thi pháp luật giữa các Bộ, ngành trong Chính phủ, qua việc xây dựng Nghị định của Chính phủ </w:t>
      </w:r>
      <w:r w:rsidR="00464A8C">
        <w:rPr>
          <w:spacing w:val="-2"/>
          <w:sz w:val="28"/>
          <w:szCs w:val="28"/>
        </w:rPr>
        <w:t xml:space="preserve">quy định </w:t>
      </w:r>
      <w:r w:rsidRPr="002F518F">
        <w:rPr>
          <w:spacing w:val="-2"/>
          <w:sz w:val="28"/>
          <w:szCs w:val="28"/>
        </w:rPr>
        <w:t xml:space="preserve">về </w:t>
      </w:r>
      <w:r w:rsidR="00464A8C">
        <w:rPr>
          <w:spacing w:val="-2"/>
          <w:sz w:val="28"/>
          <w:szCs w:val="28"/>
        </w:rPr>
        <w:t>hoạt động tiêm chủng</w:t>
      </w:r>
      <w:r w:rsidR="00FA3F76">
        <w:rPr>
          <w:spacing w:val="-2"/>
          <w:sz w:val="28"/>
          <w:szCs w:val="28"/>
        </w:rPr>
        <w:t xml:space="preserve"> sẽ g</w:t>
      </w:r>
      <w:r w:rsidRPr="002F518F">
        <w:rPr>
          <w:spacing w:val="-2"/>
          <w:sz w:val="28"/>
          <w:szCs w:val="28"/>
        </w:rPr>
        <w:t xml:space="preserve">iúp cho việc thực thi các pháp luật về </w:t>
      </w:r>
      <w:r w:rsidR="00FA3F76">
        <w:rPr>
          <w:spacing w:val="-2"/>
          <w:sz w:val="28"/>
          <w:szCs w:val="28"/>
        </w:rPr>
        <w:t xml:space="preserve">tiêm chủng </w:t>
      </w:r>
      <w:r w:rsidRPr="002F518F">
        <w:rPr>
          <w:spacing w:val="-2"/>
          <w:sz w:val="28"/>
          <w:szCs w:val="28"/>
        </w:rPr>
        <w:t xml:space="preserve">mang lại hiệu quả thiết thực, góp phần thực hiện thắng lợi sự nghiệp công nghiệp hóa hiện đại hóa đất nước. </w:t>
      </w:r>
    </w:p>
    <w:p w14:paraId="21FAC8B6" w14:textId="77777777" w:rsidR="005505D1" w:rsidRDefault="000335F8" w:rsidP="00223C9A">
      <w:pPr>
        <w:spacing w:before="120" w:after="120"/>
        <w:ind w:firstLine="720"/>
        <w:jc w:val="both"/>
        <w:rPr>
          <w:b/>
          <w:sz w:val="28"/>
          <w:szCs w:val="28"/>
        </w:rPr>
      </w:pPr>
      <w:r w:rsidRPr="009F536D">
        <w:rPr>
          <w:b/>
          <w:sz w:val="28"/>
          <w:szCs w:val="28"/>
        </w:rPr>
        <w:t>2.</w:t>
      </w:r>
      <w:r w:rsidR="00464A8C">
        <w:rPr>
          <w:b/>
          <w:sz w:val="28"/>
          <w:szCs w:val="28"/>
        </w:rPr>
        <w:t xml:space="preserve"> Kiến n</w:t>
      </w:r>
      <w:r w:rsidR="005505D1" w:rsidRPr="009F536D">
        <w:rPr>
          <w:b/>
          <w:sz w:val="28"/>
          <w:szCs w:val="28"/>
        </w:rPr>
        <w:t xml:space="preserve">ghị </w:t>
      </w:r>
    </w:p>
    <w:p w14:paraId="2CF2AD6F" w14:textId="77777777" w:rsidR="003C4E88" w:rsidRPr="003C4E88" w:rsidRDefault="003C4E88" w:rsidP="00223C9A">
      <w:pPr>
        <w:spacing w:before="120" w:after="120"/>
        <w:ind w:firstLine="720"/>
        <w:jc w:val="both"/>
        <w:rPr>
          <w:color w:val="000000"/>
          <w:sz w:val="28"/>
          <w:szCs w:val="28"/>
          <w:lang w:val="sv-SE"/>
        </w:rPr>
      </w:pPr>
      <w:r w:rsidRPr="003C4E88">
        <w:rPr>
          <w:bCs/>
          <w:sz w:val="28"/>
          <w:szCs w:val="28"/>
          <w:lang w:val="nl-NL"/>
        </w:rPr>
        <w:t>Để bảo đảm tính đồng bộ của hệ thống pháp luật, giải quyết kịp thời vướng mắc, khó khăn trong hoạt động tiêm chủng</w:t>
      </w:r>
      <w:r w:rsidRPr="003C4E88">
        <w:rPr>
          <w:bCs/>
          <w:color w:val="000000"/>
          <w:sz w:val="28"/>
          <w:szCs w:val="28"/>
          <w:shd w:val="clear" w:color="auto" w:fill="FFFFFF"/>
          <w:lang w:val="sq-AL"/>
        </w:rPr>
        <w:t xml:space="preserve"> </w:t>
      </w:r>
      <w:r w:rsidRPr="003C4E88">
        <w:rPr>
          <w:sz w:val="28"/>
          <w:szCs w:val="28"/>
          <w:lang w:val="pt-BR"/>
        </w:rPr>
        <w:t xml:space="preserve">Bộ Y tế đề nghị </w:t>
      </w:r>
      <w:r w:rsidRPr="003C4E88">
        <w:rPr>
          <w:color w:val="000000"/>
          <w:sz w:val="28"/>
          <w:szCs w:val="28"/>
          <w:lang w:val="sv-SE"/>
        </w:rPr>
        <w:t>Chính phủ ban hàn</w:t>
      </w:r>
      <w:r w:rsidRPr="003C4E88">
        <w:rPr>
          <w:sz w:val="28"/>
          <w:szCs w:val="28"/>
          <w:lang w:val="sv-SE"/>
        </w:rPr>
        <w:t>h Nghị định quy định về hoạt động tiêm chủng</w:t>
      </w:r>
      <w:r w:rsidRPr="003C4E88">
        <w:rPr>
          <w:color w:val="000000"/>
          <w:sz w:val="28"/>
          <w:szCs w:val="28"/>
          <w:lang w:val="sv-SE"/>
        </w:rPr>
        <w:t xml:space="preserve"> tiêm chủng với một số lý do sau đây:</w:t>
      </w:r>
    </w:p>
    <w:p w14:paraId="74F44174" w14:textId="77777777" w:rsidR="003C4E88" w:rsidRPr="003C4E88" w:rsidRDefault="003C4E88" w:rsidP="00587A63">
      <w:pPr>
        <w:shd w:val="clear" w:color="auto" w:fill="FFFFFF"/>
        <w:spacing w:before="120" w:after="120"/>
        <w:ind w:firstLine="720"/>
        <w:jc w:val="both"/>
        <w:rPr>
          <w:color w:val="000000"/>
          <w:sz w:val="28"/>
          <w:szCs w:val="28"/>
        </w:rPr>
      </w:pPr>
      <w:r w:rsidRPr="003C4E88">
        <w:rPr>
          <w:color w:val="000000"/>
          <w:sz w:val="28"/>
          <w:szCs w:val="28"/>
          <w:lang w:val="vi-VN"/>
        </w:rPr>
        <w:t>- Luật Phòng chống bệnh truyền nhiễm được Quốc hội thông qua ngày  21/11/2007 có quy định về sử dụng vắc xin, sinh phẩm y tế.</w:t>
      </w:r>
    </w:p>
    <w:p w14:paraId="597FFFF1" w14:textId="77777777" w:rsidR="003C4E88" w:rsidRPr="003C4E88" w:rsidRDefault="003C4E88" w:rsidP="00E804FE">
      <w:pPr>
        <w:shd w:val="clear" w:color="auto" w:fill="FFFFFF"/>
        <w:spacing w:before="120" w:after="120"/>
        <w:jc w:val="both"/>
        <w:rPr>
          <w:color w:val="000000"/>
          <w:sz w:val="28"/>
          <w:szCs w:val="28"/>
        </w:rPr>
      </w:pPr>
      <w:r w:rsidRPr="003C4E88">
        <w:rPr>
          <w:bCs/>
          <w:color w:val="000000"/>
          <w:sz w:val="28"/>
          <w:szCs w:val="28"/>
          <w:lang w:val="vi-VN"/>
        </w:rPr>
        <w:t>       </w:t>
      </w:r>
      <w:r>
        <w:rPr>
          <w:bCs/>
          <w:color w:val="000000"/>
          <w:sz w:val="28"/>
          <w:szCs w:val="28"/>
        </w:rPr>
        <w:tab/>
      </w:r>
      <w:r w:rsidRPr="003C4E88">
        <w:rPr>
          <w:bCs/>
          <w:color w:val="000000"/>
          <w:sz w:val="28"/>
          <w:szCs w:val="28"/>
          <w:lang w:val="vi-VN"/>
        </w:rPr>
        <w:t xml:space="preserve"> - </w:t>
      </w:r>
      <w:r w:rsidRPr="003C4E88">
        <w:rPr>
          <w:color w:val="000000"/>
          <w:sz w:val="28"/>
          <w:szCs w:val="28"/>
          <w:lang w:val="vi-VN"/>
        </w:rPr>
        <w:t>Chương trình tiêm chủng mở rộng là một chương trình </w:t>
      </w:r>
      <w:r w:rsidRPr="003C4E88">
        <w:rPr>
          <w:color w:val="000000"/>
          <w:sz w:val="28"/>
          <w:szCs w:val="28"/>
          <w:lang w:val="pt-BR"/>
        </w:rPr>
        <w:t xml:space="preserve">có tính xã hội rộng lớn, tác động đến toàn dân và có tầm quan trọng đặc biệt trong công tác bảo vệ, chăm sóc sức khỏe nhân dân. </w:t>
      </w:r>
      <w:r w:rsidRPr="003C4E88">
        <w:rPr>
          <w:color w:val="000000"/>
          <w:sz w:val="28"/>
          <w:szCs w:val="28"/>
          <w:lang w:val="vi-VN"/>
        </w:rPr>
        <w:t xml:space="preserve">Việc đảm bảo độ bảo phủ và tăng cường tính bền vững của </w:t>
      </w:r>
      <w:r w:rsidRPr="003C4E88">
        <w:rPr>
          <w:color w:val="000000"/>
          <w:sz w:val="28"/>
          <w:szCs w:val="28"/>
        </w:rPr>
        <w:t>tiêm chủng</w:t>
      </w:r>
      <w:r w:rsidRPr="003C4E88">
        <w:rPr>
          <w:color w:val="000000"/>
          <w:sz w:val="28"/>
          <w:szCs w:val="28"/>
          <w:lang w:val="vi-VN"/>
        </w:rPr>
        <w:t xml:space="preserve"> là hết sức quan trọng.</w:t>
      </w:r>
    </w:p>
    <w:p w14:paraId="1E8AA3AF" w14:textId="77777777" w:rsidR="003C4E88" w:rsidRPr="003C4E88" w:rsidRDefault="003C4E88" w:rsidP="00587A63">
      <w:pPr>
        <w:pStyle w:val="BodyText"/>
        <w:spacing w:before="120" w:after="120"/>
        <w:ind w:firstLine="720"/>
        <w:jc w:val="both"/>
        <w:rPr>
          <w:rFonts w:ascii="Times New Roman" w:hAnsi="Times New Roman"/>
          <w:b w:val="0"/>
          <w:color w:val="000000"/>
          <w:sz w:val="28"/>
          <w:szCs w:val="28"/>
          <w:lang w:val="sv-SE"/>
        </w:rPr>
      </w:pPr>
      <w:r w:rsidRPr="003C4E88">
        <w:rPr>
          <w:rFonts w:ascii="Times New Roman" w:hAnsi="Times New Roman"/>
          <w:b w:val="0"/>
          <w:color w:val="000000"/>
          <w:sz w:val="28"/>
          <w:szCs w:val="28"/>
          <w:lang w:val="vi-VN"/>
        </w:rPr>
        <w:lastRenderedPageBreak/>
        <w:t>- Tiêm chủng phòng bệnh là một chính sách công của tất cả các nước nên cần phải có những chính sách, quy định đủ mạnh để triển khai một cách đồng bộ và quyết liệt từ Trung ương đến cơ sở.</w:t>
      </w:r>
      <w:r w:rsidRPr="003C4E88">
        <w:rPr>
          <w:rFonts w:ascii="Times New Roman" w:hAnsi="Times New Roman"/>
          <w:b w:val="0"/>
          <w:color w:val="000000"/>
          <w:sz w:val="28"/>
          <w:szCs w:val="28"/>
        </w:rPr>
        <w:t xml:space="preserve"> </w:t>
      </w:r>
    </w:p>
    <w:p w14:paraId="47B62FF7" w14:textId="77777777" w:rsidR="003C4E88" w:rsidRPr="003C4E88" w:rsidRDefault="003C4E88" w:rsidP="00587A63">
      <w:pPr>
        <w:pStyle w:val="BodyText"/>
        <w:spacing w:before="120" w:after="120"/>
        <w:ind w:firstLine="720"/>
        <w:jc w:val="both"/>
        <w:rPr>
          <w:rFonts w:ascii="Times New Roman" w:hAnsi="Times New Roman"/>
          <w:b w:val="0"/>
          <w:color w:val="000000"/>
          <w:sz w:val="28"/>
          <w:szCs w:val="28"/>
          <w:lang w:val="pt-BR"/>
        </w:rPr>
      </w:pPr>
      <w:r w:rsidRPr="003C4E88">
        <w:rPr>
          <w:rFonts w:ascii="Times New Roman" w:hAnsi="Times New Roman"/>
          <w:b w:val="0"/>
          <w:color w:val="000000"/>
          <w:sz w:val="28"/>
          <w:szCs w:val="28"/>
          <w:lang w:val="vi-VN"/>
        </w:rPr>
        <w:t>- </w:t>
      </w:r>
      <w:r w:rsidRPr="003C4E88">
        <w:rPr>
          <w:rFonts w:ascii="Times New Roman" w:hAnsi="Times New Roman"/>
          <w:b w:val="0"/>
          <w:color w:val="000000"/>
          <w:sz w:val="28"/>
          <w:szCs w:val="28"/>
          <w:lang w:val="pt-BR"/>
        </w:rPr>
        <w:t>Nghị định do Chính phủ ban hành sẽ có tính pháp lý cao, đảm bảo sự phân công rõ ràng, có sự phối hợp liên ngành và trách nhiệm pháp lý đầy đủ trong việc tổ chức triển khai hoạt động tiêm chủng của các đơn vị thực hiện.</w:t>
      </w:r>
      <w:r w:rsidRPr="003C4E88">
        <w:rPr>
          <w:rFonts w:ascii="Times New Roman" w:hAnsi="Times New Roman"/>
          <w:b w:val="0"/>
          <w:color w:val="000000"/>
          <w:sz w:val="28"/>
          <w:szCs w:val="28"/>
          <w:lang w:val="sv-SE"/>
        </w:rPr>
        <w:t xml:space="preserve"> Tăng cường lãnh đạo, chỉ đạo của các cấp ủy Đảng, chính quyền các cấp đối với công tác tiêm chủng phòng bệnh </w:t>
      </w:r>
      <w:r w:rsidRPr="003C4E88">
        <w:rPr>
          <w:rFonts w:ascii="Times New Roman" w:hAnsi="Times New Roman"/>
          <w:b w:val="0"/>
          <w:sz w:val="28"/>
          <w:szCs w:val="28"/>
          <w:lang w:val="sv-SE"/>
        </w:rPr>
        <w:t>để đáp ứng với sự phát triển kinh tế xã hội hiện nay.</w:t>
      </w:r>
    </w:p>
    <w:p w14:paraId="335AE3D5" w14:textId="77777777" w:rsidR="003C4E88" w:rsidRPr="003C4E88" w:rsidRDefault="003C4E88" w:rsidP="00587A63">
      <w:pPr>
        <w:pStyle w:val="BodyText"/>
        <w:spacing w:before="120" w:after="120"/>
        <w:ind w:firstLine="720"/>
        <w:jc w:val="both"/>
        <w:rPr>
          <w:rFonts w:ascii="Times New Roman" w:hAnsi="Times New Roman"/>
          <w:b w:val="0"/>
          <w:color w:val="000000"/>
          <w:sz w:val="28"/>
          <w:szCs w:val="28"/>
          <w:lang w:val="pt-BR"/>
        </w:rPr>
      </w:pPr>
      <w:r w:rsidRPr="003C4E88">
        <w:rPr>
          <w:rFonts w:ascii="Times New Roman" w:hAnsi="Times New Roman"/>
          <w:b w:val="0"/>
          <w:color w:val="000000"/>
          <w:sz w:val="28"/>
          <w:szCs w:val="28"/>
          <w:lang w:val="pt-BR"/>
        </w:rPr>
        <w:t>- Hiện nay việc xã hội hóa các dịch vụ y tế đã và đang triển khai trong đó có tiêm chủng vắc xin, do vậy cần thiết có Nghị định quản lý về tiêm chủng để bảo đảm quản lý một cách chặt chẽ và có hiệu quả.</w:t>
      </w:r>
    </w:p>
    <w:p w14:paraId="40E338B2" w14:textId="77777777" w:rsidR="003C4E88" w:rsidRPr="003C4E88" w:rsidRDefault="003C4E88" w:rsidP="00587A63">
      <w:pPr>
        <w:pStyle w:val="BodyText"/>
        <w:spacing w:before="120" w:after="120"/>
        <w:ind w:firstLine="720"/>
        <w:jc w:val="both"/>
        <w:rPr>
          <w:rFonts w:ascii="Times New Roman" w:hAnsi="Times New Roman"/>
          <w:b w:val="0"/>
          <w:color w:val="000000"/>
          <w:sz w:val="28"/>
          <w:szCs w:val="28"/>
          <w:lang w:val="pt-BR"/>
        </w:rPr>
      </w:pPr>
      <w:r w:rsidRPr="003C4E88">
        <w:rPr>
          <w:rFonts w:ascii="Times New Roman" w:hAnsi="Times New Roman"/>
          <w:b w:val="0"/>
          <w:color w:val="000000"/>
          <w:sz w:val="28"/>
          <w:szCs w:val="28"/>
          <w:lang w:val="pt-BR"/>
        </w:rPr>
        <w:t>- Khoa học kỹ thuật ngày càng phát triển trong đó có việc sản xuất vắc xin mới do vậy cần thiết phải xây dựng Nghị định để cơ quan chức năng có cơ chế, chính sách cho người dân Việt Nam có cơ hội tiếp cận và tiếp cận nhanh với các vắc xin thế hệ mới.</w:t>
      </w:r>
    </w:p>
    <w:p w14:paraId="6802E817" w14:textId="77777777" w:rsidR="003C4E88" w:rsidRPr="003C4E88" w:rsidRDefault="003C4E88" w:rsidP="00223C9A">
      <w:pPr>
        <w:pStyle w:val="BodyText"/>
        <w:spacing w:before="120" w:after="120"/>
        <w:ind w:firstLine="720"/>
        <w:jc w:val="both"/>
        <w:rPr>
          <w:rFonts w:ascii="Times New Roman" w:hAnsi="Times New Roman"/>
          <w:b w:val="0"/>
          <w:color w:val="000000"/>
          <w:sz w:val="28"/>
          <w:szCs w:val="28"/>
          <w:lang w:val="en-GB"/>
        </w:rPr>
      </w:pPr>
      <w:r w:rsidRPr="003C4E88">
        <w:rPr>
          <w:rFonts w:ascii="Times New Roman" w:hAnsi="Times New Roman"/>
          <w:b w:val="0"/>
          <w:color w:val="000000"/>
          <w:sz w:val="28"/>
          <w:szCs w:val="28"/>
          <w:lang w:val="en-GB"/>
        </w:rPr>
        <w:t>Từ những lý do nêu trên, việc ban hành Nghị định về hoạt động tiêm chủng quy định hành lang pháp lý hoàn chỉnh, đồng bộ cho việc quản lý hoạt động tiêm chủng trong tình hình mới là hết sức cần thiết.</w:t>
      </w:r>
    </w:p>
    <w:p w14:paraId="528EBBFB" w14:textId="77777777" w:rsidR="009F5CBD" w:rsidRDefault="00DD6318" w:rsidP="00223C9A">
      <w:pPr>
        <w:spacing w:before="120" w:after="120"/>
        <w:ind w:firstLine="720"/>
        <w:jc w:val="both"/>
        <w:rPr>
          <w:sz w:val="28"/>
          <w:szCs w:val="28"/>
        </w:rPr>
      </w:pPr>
      <w:r>
        <w:rPr>
          <w:sz w:val="28"/>
          <w:szCs w:val="28"/>
        </w:rPr>
        <w:t>Trên đây là Báo cáo</w:t>
      </w:r>
      <w:r w:rsidR="009F5CBD">
        <w:rPr>
          <w:sz w:val="28"/>
          <w:szCs w:val="28"/>
        </w:rPr>
        <w:t xml:space="preserve"> đánh giá việc thực hiện các quy định của pháp luật về </w:t>
      </w:r>
      <w:r w:rsidR="003C4E88">
        <w:rPr>
          <w:sz w:val="28"/>
          <w:szCs w:val="28"/>
        </w:rPr>
        <w:t>triển khai hoạt động tiêm chủng</w:t>
      </w:r>
      <w:r w:rsidR="001845CE">
        <w:rPr>
          <w:sz w:val="28"/>
          <w:szCs w:val="28"/>
        </w:rPr>
        <w:t>./.</w:t>
      </w:r>
      <w:r w:rsidR="009F5CBD">
        <w:rPr>
          <w:sz w:val="28"/>
          <w:szCs w:val="28"/>
        </w:rPr>
        <w:t xml:space="preserve"> </w:t>
      </w:r>
    </w:p>
    <w:p w14:paraId="48CE6F2A" w14:textId="77777777" w:rsidR="009B3640" w:rsidRDefault="009B3640" w:rsidP="00223C9A">
      <w:pPr>
        <w:spacing w:before="120" w:after="120"/>
        <w:ind w:firstLine="720"/>
        <w:jc w:val="both"/>
        <w:rPr>
          <w:sz w:val="28"/>
          <w:szCs w:val="28"/>
        </w:rPr>
      </w:pPr>
    </w:p>
    <w:tbl>
      <w:tblPr>
        <w:tblW w:w="9564" w:type="dxa"/>
        <w:jc w:val="center"/>
        <w:tblLayout w:type="fixed"/>
        <w:tblLook w:val="0000" w:firstRow="0" w:lastRow="0" w:firstColumn="0" w:lastColumn="0" w:noHBand="0" w:noVBand="0"/>
      </w:tblPr>
      <w:tblGrid>
        <w:gridCol w:w="5032"/>
        <w:gridCol w:w="4532"/>
      </w:tblGrid>
      <w:tr w:rsidR="003C4E88" w:rsidRPr="00CA7B4E" w14:paraId="20CB5FD4" w14:textId="77777777">
        <w:trPr>
          <w:jc w:val="center"/>
        </w:trPr>
        <w:tc>
          <w:tcPr>
            <w:tcW w:w="5032" w:type="dxa"/>
          </w:tcPr>
          <w:p w14:paraId="328B7613" w14:textId="77777777" w:rsidR="003C4E88" w:rsidRPr="00CA7B4E" w:rsidRDefault="003C4E88" w:rsidP="008123F1">
            <w:pPr>
              <w:ind w:left="117" w:hanging="117"/>
              <w:rPr>
                <w:b/>
                <w:i/>
                <w:lang w:val="nl-NL"/>
              </w:rPr>
            </w:pPr>
            <w:r w:rsidRPr="00CA7B4E">
              <w:rPr>
                <w:b/>
                <w:i/>
                <w:lang w:val="nl-NL"/>
              </w:rPr>
              <w:t>Nơi nhận:</w:t>
            </w:r>
          </w:p>
          <w:p w14:paraId="2B3D8C3F" w14:textId="77777777" w:rsidR="003C4E88" w:rsidRPr="00CA7B4E" w:rsidRDefault="003C4E88" w:rsidP="008123F1">
            <w:pPr>
              <w:ind w:left="117" w:hanging="117"/>
              <w:rPr>
                <w:sz w:val="22"/>
                <w:szCs w:val="22"/>
                <w:lang w:val="nl-NL"/>
              </w:rPr>
            </w:pPr>
            <w:r w:rsidRPr="00CA7B4E">
              <w:rPr>
                <w:sz w:val="22"/>
                <w:szCs w:val="22"/>
                <w:lang w:val="nl-NL"/>
              </w:rPr>
              <w:t>- Như trên;</w:t>
            </w:r>
          </w:p>
          <w:p w14:paraId="733A2274" w14:textId="77777777" w:rsidR="003C4E88" w:rsidRPr="00CA7B4E" w:rsidRDefault="003C4E88" w:rsidP="008123F1">
            <w:pPr>
              <w:jc w:val="both"/>
              <w:rPr>
                <w:color w:val="000000"/>
                <w:sz w:val="22"/>
                <w:szCs w:val="22"/>
                <w:lang w:val="it-IT"/>
              </w:rPr>
            </w:pPr>
            <w:r w:rsidRPr="00CA7B4E">
              <w:rPr>
                <w:color w:val="000000"/>
                <w:sz w:val="22"/>
                <w:szCs w:val="22"/>
                <w:lang w:val="it-IT"/>
              </w:rPr>
              <w:t>- Các Phó Thủ tướng (để báo cáo);</w:t>
            </w:r>
          </w:p>
          <w:p w14:paraId="1848A69E" w14:textId="77777777" w:rsidR="003C4E88" w:rsidRPr="00CA7B4E" w:rsidRDefault="003C4E88" w:rsidP="008123F1">
            <w:pPr>
              <w:ind w:left="117" w:hanging="117"/>
              <w:rPr>
                <w:sz w:val="22"/>
                <w:szCs w:val="22"/>
                <w:lang w:val="nl-NL"/>
              </w:rPr>
            </w:pPr>
            <w:r w:rsidRPr="00CA7B4E">
              <w:rPr>
                <w:sz w:val="22"/>
                <w:szCs w:val="22"/>
                <w:lang w:val="nl-NL"/>
              </w:rPr>
              <w:t>- Văn phòng Chính phủ (Vụ Pháp luật, Vụ K</w:t>
            </w:r>
            <w:r w:rsidR="00DB6361">
              <w:rPr>
                <w:sz w:val="22"/>
                <w:szCs w:val="22"/>
                <w:lang w:val="nl-NL"/>
              </w:rPr>
              <w:t>G-VX</w:t>
            </w:r>
            <w:r w:rsidRPr="00CA7B4E">
              <w:rPr>
                <w:sz w:val="22"/>
                <w:szCs w:val="22"/>
                <w:lang w:val="nl-NL"/>
              </w:rPr>
              <w:t>) (để phối hợp);</w:t>
            </w:r>
          </w:p>
          <w:p w14:paraId="362CB339" w14:textId="77777777" w:rsidR="003C4E88" w:rsidRPr="00CA7B4E" w:rsidRDefault="003C4E88" w:rsidP="008123F1">
            <w:pPr>
              <w:ind w:left="117" w:hanging="117"/>
              <w:rPr>
                <w:sz w:val="22"/>
                <w:szCs w:val="22"/>
                <w:lang w:val="nl-NL"/>
              </w:rPr>
            </w:pPr>
            <w:r w:rsidRPr="00CA7B4E">
              <w:rPr>
                <w:sz w:val="22"/>
                <w:szCs w:val="22"/>
                <w:lang w:val="nl-NL"/>
              </w:rPr>
              <w:t>- Bộ Tư pháp (để phối hợp);</w:t>
            </w:r>
          </w:p>
          <w:p w14:paraId="6BE4518B" w14:textId="77777777" w:rsidR="003C4E88" w:rsidRPr="00CA7B4E" w:rsidRDefault="003C4E88" w:rsidP="008123F1">
            <w:pPr>
              <w:ind w:left="117" w:hanging="117"/>
              <w:rPr>
                <w:sz w:val="22"/>
                <w:szCs w:val="22"/>
                <w:lang w:val="nl-NL"/>
              </w:rPr>
            </w:pPr>
            <w:r w:rsidRPr="00CA7B4E">
              <w:rPr>
                <w:sz w:val="22"/>
                <w:szCs w:val="22"/>
                <w:lang w:val="nl-NL"/>
              </w:rPr>
              <w:t>- Các Đ/c Thứ trưởng Bộ Y tế;</w:t>
            </w:r>
          </w:p>
          <w:p w14:paraId="31193869" w14:textId="77777777" w:rsidR="003C4E88" w:rsidRPr="00CA7B4E" w:rsidRDefault="003C4E88" w:rsidP="008123F1">
            <w:pPr>
              <w:ind w:left="117" w:hanging="117"/>
              <w:rPr>
                <w:sz w:val="22"/>
                <w:szCs w:val="22"/>
                <w:lang w:val="nl-NL"/>
              </w:rPr>
            </w:pPr>
            <w:r w:rsidRPr="00CA7B4E">
              <w:rPr>
                <w:sz w:val="22"/>
                <w:szCs w:val="22"/>
                <w:lang w:val="nl-NL"/>
              </w:rPr>
              <w:t>- Các T/v BST&amp;TBT xây dựng Nghị định;</w:t>
            </w:r>
          </w:p>
          <w:p w14:paraId="2F95D1D0" w14:textId="77777777" w:rsidR="003C4E88" w:rsidRPr="00CA7B4E" w:rsidRDefault="003C4E88" w:rsidP="008123F1">
            <w:pPr>
              <w:ind w:left="117" w:hanging="117"/>
              <w:rPr>
                <w:lang w:val="nl-NL"/>
              </w:rPr>
            </w:pPr>
            <w:r w:rsidRPr="00CA7B4E">
              <w:rPr>
                <w:sz w:val="22"/>
                <w:szCs w:val="22"/>
                <w:lang w:val="nl-NL"/>
              </w:rPr>
              <w:t>- Lưu: VT, PC, DP (2b).</w:t>
            </w:r>
          </w:p>
        </w:tc>
        <w:tc>
          <w:tcPr>
            <w:tcW w:w="4532" w:type="dxa"/>
          </w:tcPr>
          <w:p w14:paraId="219EDED9" w14:textId="77777777" w:rsidR="003C4E88" w:rsidRPr="003C4E88" w:rsidRDefault="003C4E88" w:rsidP="008123F1">
            <w:pPr>
              <w:pStyle w:val="Heading2"/>
              <w:ind w:right="-1"/>
              <w:rPr>
                <w:rFonts w:ascii="Times New Roman" w:hAnsi="Times New Roman"/>
                <w:b/>
                <w:i w:val="0"/>
                <w:spacing w:val="-6"/>
              </w:rPr>
            </w:pPr>
            <w:r w:rsidRPr="003C4E88">
              <w:rPr>
                <w:rFonts w:ascii="Times New Roman" w:hAnsi="Times New Roman"/>
                <w:b/>
                <w:i w:val="0"/>
                <w:spacing w:val="-6"/>
              </w:rPr>
              <w:t>BỘ TRƯỞNG</w:t>
            </w:r>
          </w:p>
          <w:p w14:paraId="66D7ECD8" w14:textId="77777777" w:rsidR="003C4E88" w:rsidRPr="003C4E88" w:rsidRDefault="003C4E88" w:rsidP="008123F1">
            <w:pPr>
              <w:jc w:val="center"/>
              <w:rPr>
                <w:b/>
                <w:i/>
              </w:rPr>
            </w:pPr>
          </w:p>
          <w:p w14:paraId="04A5F549" w14:textId="77777777" w:rsidR="003C4E88" w:rsidRPr="003C4E88" w:rsidRDefault="003C4E88" w:rsidP="008123F1">
            <w:pPr>
              <w:jc w:val="center"/>
              <w:rPr>
                <w:b/>
              </w:rPr>
            </w:pPr>
          </w:p>
          <w:p w14:paraId="6DBFAAB0" w14:textId="77777777" w:rsidR="003C4E88" w:rsidRPr="003C4E88" w:rsidRDefault="003C4E88" w:rsidP="008123F1">
            <w:pPr>
              <w:jc w:val="center"/>
              <w:rPr>
                <w:b/>
              </w:rPr>
            </w:pPr>
          </w:p>
          <w:p w14:paraId="6D04127A" w14:textId="77777777" w:rsidR="003C4E88" w:rsidRPr="003C4E88" w:rsidRDefault="003C4E88" w:rsidP="008123F1">
            <w:pPr>
              <w:jc w:val="center"/>
              <w:rPr>
                <w:b/>
              </w:rPr>
            </w:pPr>
          </w:p>
          <w:p w14:paraId="5045CBEE" w14:textId="77777777" w:rsidR="003C4E88" w:rsidRPr="003C4E88" w:rsidRDefault="003C4E88" w:rsidP="008123F1">
            <w:pPr>
              <w:rPr>
                <w:b/>
              </w:rPr>
            </w:pPr>
          </w:p>
          <w:p w14:paraId="20AD3BCF" w14:textId="77777777" w:rsidR="003C4E88" w:rsidRPr="003C4E88" w:rsidRDefault="003C4E88" w:rsidP="008123F1">
            <w:pPr>
              <w:rPr>
                <w:b/>
              </w:rPr>
            </w:pPr>
          </w:p>
          <w:p w14:paraId="30DC3F94" w14:textId="77777777" w:rsidR="003C4E88" w:rsidRPr="003C4E88" w:rsidRDefault="003C4E88" w:rsidP="008123F1">
            <w:pPr>
              <w:rPr>
                <w:b/>
              </w:rPr>
            </w:pPr>
          </w:p>
          <w:p w14:paraId="0C7FE045" w14:textId="77777777" w:rsidR="003C4E88" w:rsidRPr="00CA7B4E" w:rsidRDefault="003C4E88" w:rsidP="008123F1">
            <w:pPr>
              <w:jc w:val="center"/>
              <w:rPr>
                <w:b/>
              </w:rPr>
            </w:pPr>
            <w:r w:rsidRPr="003C4E88">
              <w:rPr>
                <w:b/>
              </w:rPr>
              <w:t>Nguyễn Thị Kim Tiến</w:t>
            </w:r>
          </w:p>
        </w:tc>
      </w:tr>
    </w:tbl>
    <w:p w14:paraId="35281AAA" w14:textId="77777777" w:rsidR="003C4E88" w:rsidRDefault="003C4E88" w:rsidP="00637E6B">
      <w:pPr>
        <w:spacing w:line="480" w:lineRule="exact"/>
        <w:jc w:val="both"/>
        <w:rPr>
          <w:sz w:val="28"/>
          <w:szCs w:val="28"/>
        </w:rPr>
      </w:pPr>
    </w:p>
    <w:sectPr w:rsidR="003C4E88" w:rsidSect="00637E6B">
      <w:footerReference w:type="even" r:id="rId10"/>
      <w:footerReference w:type="default" r:id="rId1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E1DDF" w14:textId="77777777" w:rsidR="00920E1F" w:rsidRDefault="00920E1F">
      <w:r>
        <w:separator/>
      </w:r>
    </w:p>
  </w:endnote>
  <w:endnote w:type="continuationSeparator" w:id="0">
    <w:p w14:paraId="2FB0E228" w14:textId="77777777" w:rsidR="00920E1F" w:rsidRDefault="0092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amascus">
    <w:altName w:val="MS Mincho"/>
    <w:charset w:val="00"/>
    <w:family w:val="auto"/>
    <w:pitch w:val="variable"/>
    <w:sig w:usb0="00000003" w:usb1="88000000" w:usb2="14000008"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5B57C" w14:textId="77777777" w:rsidR="008138FF" w:rsidRDefault="008138FF" w:rsidP="00970F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303893" w14:textId="77777777" w:rsidR="008138FF" w:rsidRDefault="00813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9B86C" w14:textId="77777777" w:rsidR="008138FF" w:rsidRDefault="008138FF" w:rsidP="00970F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BBA">
      <w:rPr>
        <w:rStyle w:val="PageNumber"/>
        <w:noProof/>
      </w:rPr>
      <w:t>3</w:t>
    </w:r>
    <w:r>
      <w:rPr>
        <w:rStyle w:val="PageNumber"/>
      </w:rPr>
      <w:fldChar w:fldCharType="end"/>
    </w:r>
  </w:p>
  <w:p w14:paraId="7234DA8D" w14:textId="77777777" w:rsidR="008138FF" w:rsidRDefault="00813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537C2" w14:textId="77777777" w:rsidR="00920E1F" w:rsidRDefault="00920E1F">
      <w:r>
        <w:separator/>
      </w:r>
    </w:p>
  </w:footnote>
  <w:footnote w:type="continuationSeparator" w:id="0">
    <w:p w14:paraId="484BC43D" w14:textId="77777777" w:rsidR="00920E1F" w:rsidRDefault="00920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187B"/>
    <w:multiLevelType w:val="hybridMultilevel"/>
    <w:tmpl w:val="B2DC3062"/>
    <w:lvl w:ilvl="0" w:tplc="FFFFFFFF">
      <w:numFmt w:val="bullet"/>
      <w:lvlText w:val="-"/>
      <w:lvlJc w:val="left"/>
      <w:pPr>
        <w:ind w:left="1440" w:hanging="360"/>
      </w:pPr>
      <w:rPr>
        <w:rFonts w:ascii="Times New Roman" w:eastAsia="Times New Roman" w:hAnsi="Times New Roman" w:cs="Times New Roman" w:hint="default"/>
      </w:rPr>
    </w:lvl>
    <w:lvl w:ilvl="1" w:tplc="9EA0FA16">
      <w:start w:val="1"/>
      <w:numFmt w:val="bullet"/>
      <w:lvlText w:val="+"/>
      <w:lvlJc w:val="left"/>
      <w:pPr>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D62FC6"/>
    <w:multiLevelType w:val="multilevel"/>
    <w:tmpl w:val="B72EFF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A05776"/>
    <w:multiLevelType w:val="hybridMultilevel"/>
    <w:tmpl w:val="A1BA00D0"/>
    <w:lvl w:ilvl="0" w:tplc="8C367C16">
      <w:start w:val="2"/>
      <w:numFmt w:val="upperRoman"/>
      <w:lvlText w:val="%1."/>
      <w:lvlJc w:val="left"/>
      <w:pPr>
        <w:tabs>
          <w:tab w:val="num" w:pos="1080"/>
        </w:tabs>
        <w:ind w:left="1080" w:hanging="720"/>
      </w:pPr>
      <w:rPr>
        <w:rFonts w:hint="default"/>
      </w:rPr>
    </w:lvl>
    <w:lvl w:ilvl="1" w:tplc="E394670E">
      <w:numFmt w:val="none"/>
      <w:lvlText w:val=""/>
      <w:lvlJc w:val="left"/>
      <w:pPr>
        <w:tabs>
          <w:tab w:val="num" w:pos="360"/>
        </w:tabs>
      </w:pPr>
    </w:lvl>
    <w:lvl w:ilvl="2" w:tplc="E00A88EE">
      <w:numFmt w:val="none"/>
      <w:lvlText w:val=""/>
      <w:lvlJc w:val="left"/>
      <w:pPr>
        <w:tabs>
          <w:tab w:val="num" w:pos="360"/>
        </w:tabs>
      </w:pPr>
    </w:lvl>
    <w:lvl w:ilvl="3" w:tplc="9AF6589E">
      <w:numFmt w:val="none"/>
      <w:lvlText w:val=""/>
      <w:lvlJc w:val="left"/>
      <w:pPr>
        <w:tabs>
          <w:tab w:val="num" w:pos="360"/>
        </w:tabs>
      </w:pPr>
    </w:lvl>
    <w:lvl w:ilvl="4" w:tplc="0EE24246">
      <w:numFmt w:val="none"/>
      <w:lvlText w:val=""/>
      <w:lvlJc w:val="left"/>
      <w:pPr>
        <w:tabs>
          <w:tab w:val="num" w:pos="360"/>
        </w:tabs>
      </w:pPr>
    </w:lvl>
    <w:lvl w:ilvl="5" w:tplc="F66AEE06">
      <w:numFmt w:val="none"/>
      <w:lvlText w:val=""/>
      <w:lvlJc w:val="left"/>
      <w:pPr>
        <w:tabs>
          <w:tab w:val="num" w:pos="360"/>
        </w:tabs>
      </w:pPr>
    </w:lvl>
    <w:lvl w:ilvl="6" w:tplc="0E46D206">
      <w:numFmt w:val="none"/>
      <w:lvlText w:val=""/>
      <w:lvlJc w:val="left"/>
      <w:pPr>
        <w:tabs>
          <w:tab w:val="num" w:pos="360"/>
        </w:tabs>
      </w:pPr>
    </w:lvl>
    <w:lvl w:ilvl="7" w:tplc="BE88E7F8">
      <w:numFmt w:val="none"/>
      <w:lvlText w:val=""/>
      <w:lvlJc w:val="left"/>
      <w:pPr>
        <w:tabs>
          <w:tab w:val="num" w:pos="360"/>
        </w:tabs>
      </w:pPr>
    </w:lvl>
    <w:lvl w:ilvl="8" w:tplc="A8C2B40E">
      <w:numFmt w:val="none"/>
      <w:lvlText w:val=""/>
      <w:lvlJc w:val="left"/>
      <w:pPr>
        <w:tabs>
          <w:tab w:val="num" w:pos="360"/>
        </w:tabs>
      </w:pPr>
    </w:lvl>
  </w:abstractNum>
  <w:abstractNum w:abstractNumId="3">
    <w:nsid w:val="0E1D21D7"/>
    <w:multiLevelType w:val="hybridMultilevel"/>
    <w:tmpl w:val="EFEE1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11083A"/>
    <w:multiLevelType w:val="hybridMultilevel"/>
    <w:tmpl w:val="8E105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8D2480"/>
    <w:multiLevelType w:val="multilevel"/>
    <w:tmpl w:val="FD3C7CF4"/>
    <w:lvl w:ilvl="0">
      <w:start w:val="4"/>
      <w:numFmt w:val="decimal"/>
      <w:lvlText w:val="%1."/>
      <w:lvlJc w:val="left"/>
      <w:pPr>
        <w:tabs>
          <w:tab w:val="num" w:pos="435"/>
        </w:tabs>
        <w:ind w:left="435" w:hanging="435"/>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6">
    <w:nsid w:val="126B4C4F"/>
    <w:multiLevelType w:val="hybridMultilevel"/>
    <w:tmpl w:val="6BB80AF6"/>
    <w:lvl w:ilvl="0" w:tplc="7A74317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450B1E"/>
    <w:multiLevelType w:val="hybridMultilevel"/>
    <w:tmpl w:val="EAF68B9C"/>
    <w:lvl w:ilvl="0" w:tplc="0110024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FE7A0B"/>
    <w:multiLevelType w:val="hybridMultilevel"/>
    <w:tmpl w:val="02E219B0"/>
    <w:lvl w:ilvl="0" w:tplc="B0B466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57353F"/>
    <w:multiLevelType w:val="multilevel"/>
    <w:tmpl w:val="F2CE493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0">
    <w:nsid w:val="1AFD131A"/>
    <w:multiLevelType w:val="hybridMultilevel"/>
    <w:tmpl w:val="54FEE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C0C12"/>
    <w:multiLevelType w:val="hybridMultilevel"/>
    <w:tmpl w:val="A7E6A65E"/>
    <w:lvl w:ilvl="0" w:tplc="CC86B3FE">
      <w:start w:val="1"/>
      <w:numFmt w:val="decimal"/>
      <w:lvlText w:val="%1."/>
      <w:lvlJc w:val="left"/>
      <w:pPr>
        <w:tabs>
          <w:tab w:val="num" w:pos="720"/>
        </w:tabs>
        <w:ind w:left="720" w:hanging="360"/>
      </w:pPr>
    </w:lvl>
    <w:lvl w:ilvl="1" w:tplc="84B0DEF2" w:tentative="1">
      <w:start w:val="1"/>
      <w:numFmt w:val="decimal"/>
      <w:lvlText w:val="%2."/>
      <w:lvlJc w:val="left"/>
      <w:pPr>
        <w:tabs>
          <w:tab w:val="num" w:pos="1440"/>
        </w:tabs>
        <w:ind w:left="1440" w:hanging="360"/>
      </w:pPr>
    </w:lvl>
    <w:lvl w:ilvl="2" w:tplc="6F1ACBE0" w:tentative="1">
      <w:start w:val="1"/>
      <w:numFmt w:val="decimal"/>
      <w:lvlText w:val="%3."/>
      <w:lvlJc w:val="left"/>
      <w:pPr>
        <w:tabs>
          <w:tab w:val="num" w:pos="2160"/>
        </w:tabs>
        <w:ind w:left="2160" w:hanging="360"/>
      </w:pPr>
    </w:lvl>
    <w:lvl w:ilvl="3" w:tplc="F0FA4E3A" w:tentative="1">
      <w:start w:val="1"/>
      <w:numFmt w:val="decimal"/>
      <w:lvlText w:val="%4."/>
      <w:lvlJc w:val="left"/>
      <w:pPr>
        <w:tabs>
          <w:tab w:val="num" w:pos="2880"/>
        </w:tabs>
        <w:ind w:left="2880" w:hanging="360"/>
      </w:pPr>
    </w:lvl>
    <w:lvl w:ilvl="4" w:tplc="83D02B9A" w:tentative="1">
      <w:start w:val="1"/>
      <w:numFmt w:val="decimal"/>
      <w:lvlText w:val="%5."/>
      <w:lvlJc w:val="left"/>
      <w:pPr>
        <w:tabs>
          <w:tab w:val="num" w:pos="3600"/>
        </w:tabs>
        <w:ind w:left="3600" w:hanging="360"/>
      </w:pPr>
    </w:lvl>
    <w:lvl w:ilvl="5" w:tplc="FD8C8FE2" w:tentative="1">
      <w:start w:val="1"/>
      <w:numFmt w:val="decimal"/>
      <w:lvlText w:val="%6."/>
      <w:lvlJc w:val="left"/>
      <w:pPr>
        <w:tabs>
          <w:tab w:val="num" w:pos="4320"/>
        </w:tabs>
        <w:ind w:left="4320" w:hanging="360"/>
      </w:pPr>
    </w:lvl>
    <w:lvl w:ilvl="6" w:tplc="4FF6E754" w:tentative="1">
      <w:start w:val="1"/>
      <w:numFmt w:val="decimal"/>
      <w:lvlText w:val="%7."/>
      <w:lvlJc w:val="left"/>
      <w:pPr>
        <w:tabs>
          <w:tab w:val="num" w:pos="5040"/>
        </w:tabs>
        <w:ind w:left="5040" w:hanging="360"/>
      </w:pPr>
    </w:lvl>
    <w:lvl w:ilvl="7" w:tplc="121618DC" w:tentative="1">
      <w:start w:val="1"/>
      <w:numFmt w:val="decimal"/>
      <w:lvlText w:val="%8."/>
      <w:lvlJc w:val="left"/>
      <w:pPr>
        <w:tabs>
          <w:tab w:val="num" w:pos="5760"/>
        </w:tabs>
        <w:ind w:left="5760" w:hanging="360"/>
      </w:pPr>
    </w:lvl>
    <w:lvl w:ilvl="8" w:tplc="103C0E68" w:tentative="1">
      <w:start w:val="1"/>
      <w:numFmt w:val="decimal"/>
      <w:lvlText w:val="%9."/>
      <w:lvlJc w:val="left"/>
      <w:pPr>
        <w:tabs>
          <w:tab w:val="num" w:pos="6480"/>
        </w:tabs>
        <w:ind w:left="6480" w:hanging="360"/>
      </w:pPr>
    </w:lvl>
  </w:abstractNum>
  <w:abstractNum w:abstractNumId="12">
    <w:nsid w:val="1C0C1C4A"/>
    <w:multiLevelType w:val="hybridMultilevel"/>
    <w:tmpl w:val="7812AD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EB39BB"/>
    <w:multiLevelType w:val="hybridMultilevel"/>
    <w:tmpl w:val="018CBDEC"/>
    <w:lvl w:ilvl="0" w:tplc="D72E9B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4558C"/>
    <w:multiLevelType w:val="multilevel"/>
    <w:tmpl w:val="66BA45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1C71AAD"/>
    <w:multiLevelType w:val="hybridMultilevel"/>
    <w:tmpl w:val="43429DFA"/>
    <w:lvl w:ilvl="0" w:tplc="0652C904">
      <w:start w:val="2"/>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6">
    <w:nsid w:val="282830D5"/>
    <w:multiLevelType w:val="hybridMultilevel"/>
    <w:tmpl w:val="4D341D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4436CA"/>
    <w:multiLevelType w:val="hybridMultilevel"/>
    <w:tmpl w:val="6052B9A0"/>
    <w:lvl w:ilvl="0" w:tplc="7A74317E">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F5C1699"/>
    <w:multiLevelType w:val="hybridMultilevel"/>
    <w:tmpl w:val="41A822EE"/>
    <w:lvl w:ilvl="0" w:tplc="3DC41B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3052B0"/>
    <w:multiLevelType w:val="hybridMultilevel"/>
    <w:tmpl w:val="7206D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4C578C"/>
    <w:multiLevelType w:val="hybridMultilevel"/>
    <w:tmpl w:val="F3B86DD4"/>
    <w:lvl w:ilvl="0" w:tplc="855C7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AA42E7"/>
    <w:multiLevelType w:val="hybridMultilevel"/>
    <w:tmpl w:val="0FBC20B6"/>
    <w:lvl w:ilvl="0" w:tplc="04D84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A7919"/>
    <w:multiLevelType w:val="multilevel"/>
    <w:tmpl w:val="3AFA1C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BB43A5E"/>
    <w:multiLevelType w:val="hybridMultilevel"/>
    <w:tmpl w:val="CC7ADD5C"/>
    <w:lvl w:ilvl="0" w:tplc="D9A40F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7B0350"/>
    <w:multiLevelType w:val="hybridMultilevel"/>
    <w:tmpl w:val="810C19C4"/>
    <w:lvl w:ilvl="0" w:tplc="F2C06F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7832C9"/>
    <w:multiLevelType w:val="hybridMultilevel"/>
    <w:tmpl w:val="0EEE1062"/>
    <w:lvl w:ilvl="0" w:tplc="7A74317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7AC0B8EC">
      <w:start w:val="4"/>
      <w:numFmt w:val="upperRoman"/>
      <w:lvlText w:val="%4."/>
      <w:lvlJc w:val="left"/>
      <w:pPr>
        <w:tabs>
          <w:tab w:val="num" w:pos="3240"/>
        </w:tabs>
        <w:ind w:left="3240" w:hanging="72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EB5085"/>
    <w:multiLevelType w:val="hybridMultilevel"/>
    <w:tmpl w:val="C36ED3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C513F2"/>
    <w:multiLevelType w:val="multilevel"/>
    <w:tmpl w:val="FE0EF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200030B"/>
    <w:multiLevelType w:val="hybridMultilevel"/>
    <w:tmpl w:val="1382C14A"/>
    <w:lvl w:ilvl="0" w:tplc="AC5E2C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EA16CE"/>
    <w:multiLevelType w:val="hybridMultilevel"/>
    <w:tmpl w:val="4C3297D8"/>
    <w:lvl w:ilvl="0" w:tplc="02944B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CF06BE"/>
    <w:multiLevelType w:val="hybridMultilevel"/>
    <w:tmpl w:val="31922678"/>
    <w:lvl w:ilvl="0" w:tplc="0652C904">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1">
    <w:nsid w:val="5FA32EF0"/>
    <w:multiLevelType w:val="hybridMultilevel"/>
    <w:tmpl w:val="B1EADCB4"/>
    <w:lvl w:ilvl="0" w:tplc="7A74317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FB1586D"/>
    <w:multiLevelType w:val="hybridMultilevel"/>
    <w:tmpl w:val="A87E7B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B859E5"/>
    <w:multiLevelType w:val="hybridMultilevel"/>
    <w:tmpl w:val="F31E5E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A557AD"/>
    <w:multiLevelType w:val="hybridMultilevel"/>
    <w:tmpl w:val="EE8E7D0A"/>
    <w:lvl w:ilvl="0" w:tplc="89482E26">
      <w:start w:val="1"/>
      <w:numFmt w:val="bullet"/>
      <w:lvlText w:val=""/>
      <w:lvlJc w:val="left"/>
      <w:pPr>
        <w:ind w:left="1080" w:hanging="360"/>
      </w:pPr>
      <w:rPr>
        <w:rFonts w:ascii="Symbol" w:hAnsi="Symbol" w:hint="default"/>
        <w:b w:val="0"/>
      </w:rPr>
    </w:lvl>
    <w:lvl w:ilvl="1" w:tplc="F2847BAE">
      <w:start w:val="2"/>
      <w:numFmt w:val="bullet"/>
      <w:lvlText w:val="+"/>
      <w:lvlJc w:val="left"/>
      <w:pPr>
        <w:ind w:left="1800" w:hanging="360"/>
      </w:pPr>
      <w:rPr>
        <w:rFonts w:ascii="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1735363"/>
    <w:multiLevelType w:val="hybridMultilevel"/>
    <w:tmpl w:val="A69E9002"/>
    <w:lvl w:ilvl="0" w:tplc="C34230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0872CE"/>
    <w:multiLevelType w:val="hybridMultilevel"/>
    <w:tmpl w:val="310E485E"/>
    <w:lvl w:ilvl="0" w:tplc="6C020C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8C5EEC"/>
    <w:multiLevelType w:val="hybridMultilevel"/>
    <w:tmpl w:val="AB9889FE"/>
    <w:lvl w:ilvl="0" w:tplc="7A74317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F55657E"/>
    <w:multiLevelType w:val="hybridMultilevel"/>
    <w:tmpl w:val="CB9EED1A"/>
    <w:lvl w:ilvl="0" w:tplc="7A74317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926962"/>
    <w:multiLevelType w:val="hybridMultilevel"/>
    <w:tmpl w:val="5282D530"/>
    <w:lvl w:ilvl="0" w:tplc="7A74317E">
      <w:start w:val="1"/>
      <w:numFmt w:val="bullet"/>
      <w:lvlText w:val="-"/>
      <w:lvlJc w:val="left"/>
      <w:pPr>
        <w:tabs>
          <w:tab w:val="num" w:pos="720"/>
        </w:tabs>
        <w:ind w:left="720" w:hanging="360"/>
      </w:pPr>
      <w:rPr>
        <w:rFonts w:ascii="Times New Roman" w:eastAsia="Times New Roman" w:hAnsi="Times New Roman" w:cs="Times New Roman" w:hint="default"/>
      </w:rPr>
    </w:lvl>
    <w:lvl w:ilvl="1" w:tplc="6B30B1B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48002E"/>
    <w:multiLevelType w:val="hybridMultilevel"/>
    <w:tmpl w:val="36CEDDCA"/>
    <w:lvl w:ilvl="0" w:tplc="7A74317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CF5FE9"/>
    <w:multiLevelType w:val="hybridMultilevel"/>
    <w:tmpl w:val="5406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E525AD"/>
    <w:multiLevelType w:val="hybridMultilevel"/>
    <w:tmpl w:val="A5E2708C"/>
    <w:lvl w:ilvl="0" w:tplc="97F64406">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360"/>
        </w:tabs>
      </w:pPr>
    </w:lvl>
    <w:lvl w:ilvl="2" w:tplc="9A38E482">
      <w:numFmt w:val="none"/>
      <w:lvlText w:val=""/>
      <w:lvlJc w:val="left"/>
      <w:pPr>
        <w:tabs>
          <w:tab w:val="num" w:pos="360"/>
        </w:tabs>
      </w:pPr>
    </w:lvl>
    <w:lvl w:ilvl="3" w:tplc="D4C8A83A">
      <w:numFmt w:val="none"/>
      <w:lvlText w:val=""/>
      <w:lvlJc w:val="left"/>
      <w:pPr>
        <w:tabs>
          <w:tab w:val="num" w:pos="360"/>
        </w:tabs>
      </w:pPr>
    </w:lvl>
    <w:lvl w:ilvl="4" w:tplc="303E3090">
      <w:numFmt w:val="none"/>
      <w:lvlText w:val=""/>
      <w:lvlJc w:val="left"/>
      <w:pPr>
        <w:tabs>
          <w:tab w:val="num" w:pos="360"/>
        </w:tabs>
      </w:pPr>
    </w:lvl>
    <w:lvl w:ilvl="5" w:tplc="72C21648">
      <w:numFmt w:val="none"/>
      <w:lvlText w:val=""/>
      <w:lvlJc w:val="left"/>
      <w:pPr>
        <w:tabs>
          <w:tab w:val="num" w:pos="360"/>
        </w:tabs>
      </w:pPr>
    </w:lvl>
    <w:lvl w:ilvl="6" w:tplc="2D92A1B8">
      <w:numFmt w:val="none"/>
      <w:lvlText w:val=""/>
      <w:lvlJc w:val="left"/>
      <w:pPr>
        <w:tabs>
          <w:tab w:val="num" w:pos="360"/>
        </w:tabs>
      </w:pPr>
    </w:lvl>
    <w:lvl w:ilvl="7" w:tplc="7F16FE2A">
      <w:numFmt w:val="none"/>
      <w:lvlText w:val=""/>
      <w:lvlJc w:val="left"/>
      <w:pPr>
        <w:tabs>
          <w:tab w:val="num" w:pos="360"/>
        </w:tabs>
      </w:pPr>
    </w:lvl>
    <w:lvl w:ilvl="8" w:tplc="2B6C5410">
      <w:numFmt w:val="none"/>
      <w:lvlText w:val=""/>
      <w:lvlJc w:val="left"/>
      <w:pPr>
        <w:tabs>
          <w:tab w:val="num" w:pos="360"/>
        </w:tabs>
      </w:pPr>
    </w:lvl>
  </w:abstractNum>
  <w:abstractNum w:abstractNumId="43">
    <w:nsid w:val="7FBD5D3F"/>
    <w:multiLevelType w:val="hybridMultilevel"/>
    <w:tmpl w:val="CBC4C9B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FDE3340"/>
    <w:multiLevelType w:val="hybridMultilevel"/>
    <w:tmpl w:val="825462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25"/>
  </w:num>
  <w:num w:numId="3">
    <w:abstractNumId w:val="7"/>
  </w:num>
  <w:num w:numId="4">
    <w:abstractNumId w:val="22"/>
  </w:num>
  <w:num w:numId="5">
    <w:abstractNumId w:val="39"/>
  </w:num>
  <w:num w:numId="6">
    <w:abstractNumId w:val="2"/>
  </w:num>
  <w:num w:numId="7">
    <w:abstractNumId w:val="30"/>
  </w:num>
  <w:num w:numId="8">
    <w:abstractNumId w:val="15"/>
  </w:num>
  <w:num w:numId="9">
    <w:abstractNumId w:val="21"/>
  </w:num>
  <w:num w:numId="10">
    <w:abstractNumId w:val="41"/>
  </w:num>
  <w:num w:numId="11">
    <w:abstractNumId w:val="38"/>
  </w:num>
  <w:num w:numId="12">
    <w:abstractNumId w:val="40"/>
  </w:num>
  <w:num w:numId="13">
    <w:abstractNumId w:val="6"/>
  </w:num>
  <w:num w:numId="14">
    <w:abstractNumId w:val="37"/>
  </w:num>
  <w:num w:numId="15">
    <w:abstractNumId w:val="17"/>
  </w:num>
  <w:num w:numId="16">
    <w:abstractNumId w:val="31"/>
  </w:num>
  <w:num w:numId="17">
    <w:abstractNumId w:val="5"/>
  </w:num>
  <w:num w:numId="18">
    <w:abstractNumId w:val="9"/>
  </w:num>
  <w:num w:numId="19">
    <w:abstractNumId w:val="24"/>
  </w:num>
  <w:num w:numId="20">
    <w:abstractNumId w:val="3"/>
  </w:num>
  <w:num w:numId="21">
    <w:abstractNumId w:val="44"/>
  </w:num>
  <w:num w:numId="22">
    <w:abstractNumId w:val="26"/>
  </w:num>
  <w:num w:numId="23">
    <w:abstractNumId w:val="12"/>
  </w:num>
  <w:num w:numId="24">
    <w:abstractNumId w:val="32"/>
  </w:num>
  <w:num w:numId="25">
    <w:abstractNumId w:val="43"/>
  </w:num>
  <w:num w:numId="26">
    <w:abstractNumId w:val="16"/>
  </w:num>
  <w:num w:numId="27">
    <w:abstractNumId w:val="4"/>
  </w:num>
  <w:num w:numId="28">
    <w:abstractNumId w:val="33"/>
  </w:num>
  <w:num w:numId="29">
    <w:abstractNumId w:val="19"/>
  </w:num>
  <w:num w:numId="30">
    <w:abstractNumId w:val="23"/>
  </w:num>
  <w:num w:numId="31">
    <w:abstractNumId w:val="35"/>
  </w:num>
  <w:num w:numId="32">
    <w:abstractNumId w:val="13"/>
  </w:num>
  <w:num w:numId="33">
    <w:abstractNumId w:val="28"/>
  </w:num>
  <w:num w:numId="34">
    <w:abstractNumId w:val="29"/>
  </w:num>
  <w:num w:numId="35">
    <w:abstractNumId w:val="8"/>
  </w:num>
  <w:num w:numId="36">
    <w:abstractNumId w:val="36"/>
  </w:num>
  <w:num w:numId="37">
    <w:abstractNumId w:val="20"/>
  </w:num>
  <w:num w:numId="38">
    <w:abstractNumId w:val="27"/>
  </w:num>
  <w:num w:numId="39">
    <w:abstractNumId w:val="10"/>
  </w:num>
  <w:num w:numId="40">
    <w:abstractNumId w:val="1"/>
  </w:num>
  <w:num w:numId="41">
    <w:abstractNumId w:val="18"/>
  </w:num>
  <w:num w:numId="42">
    <w:abstractNumId w:val="34"/>
  </w:num>
  <w:num w:numId="43">
    <w:abstractNumId w:val="14"/>
  </w:num>
  <w:num w:numId="4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A0"/>
    <w:rsid w:val="00002737"/>
    <w:rsid w:val="00002B93"/>
    <w:rsid w:val="00005C51"/>
    <w:rsid w:val="000113B7"/>
    <w:rsid w:val="0001479D"/>
    <w:rsid w:val="00020746"/>
    <w:rsid w:val="000233D4"/>
    <w:rsid w:val="0002606A"/>
    <w:rsid w:val="0003102F"/>
    <w:rsid w:val="000335F8"/>
    <w:rsid w:val="00034B18"/>
    <w:rsid w:val="0004045C"/>
    <w:rsid w:val="00045E8C"/>
    <w:rsid w:val="0005089A"/>
    <w:rsid w:val="000546BB"/>
    <w:rsid w:val="00061F8D"/>
    <w:rsid w:val="00063B0C"/>
    <w:rsid w:val="00064323"/>
    <w:rsid w:val="00064EDD"/>
    <w:rsid w:val="00066BFD"/>
    <w:rsid w:val="00067A82"/>
    <w:rsid w:val="00071E58"/>
    <w:rsid w:val="000763BE"/>
    <w:rsid w:val="00080873"/>
    <w:rsid w:val="00081E3E"/>
    <w:rsid w:val="00084C6C"/>
    <w:rsid w:val="0008633F"/>
    <w:rsid w:val="0009069F"/>
    <w:rsid w:val="00094870"/>
    <w:rsid w:val="000A0A5E"/>
    <w:rsid w:val="000A302D"/>
    <w:rsid w:val="000A495C"/>
    <w:rsid w:val="000A5ED0"/>
    <w:rsid w:val="000A6EA2"/>
    <w:rsid w:val="000B492D"/>
    <w:rsid w:val="000B4C91"/>
    <w:rsid w:val="000B7132"/>
    <w:rsid w:val="000D1821"/>
    <w:rsid w:val="000D5D0B"/>
    <w:rsid w:val="000D60E9"/>
    <w:rsid w:val="000E1161"/>
    <w:rsid w:val="000E236A"/>
    <w:rsid w:val="000E442C"/>
    <w:rsid w:val="000F4C67"/>
    <w:rsid w:val="000F5F2A"/>
    <w:rsid w:val="000F735A"/>
    <w:rsid w:val="00102AB8"/>
    <w:rsid w:val="0010353A"/>
    <w:rsid w:val="00105AE6"/>
    <w:rsid w:val="001109B3"/>
    <w:rsid w:val="00110B60"/>
    <w:rsid w:val="00113A3C"/>
    <w:rsid w:val="001179A6"/>
    <w:rsid w:val="001212D5"/>
    <w:rsid w:val="00121BB2"/>
    <w:rsid w:val="00123700"/>
    <w:rsid w:val="0012660E"/>
    <w:rsid w:val="00126DCC"/>
    <w:rsid w:val="00135F82"/>
    <w:rsid w:val="00145A13"/>
    <w:rsid w:val="0015146E"/>
    <w:rsid w:val="00152365"/>
    <w:rsid w:val="0015559A"/>
    <w:rsid w:val="0015670D"/>
    <w:rsid w:val="001650CA"/>
    <w:rsid w:val="00174DA0"/>
    <w:rsid w:val="001750A2"/>
    <w:rsid w:val="001845CE"/>
    <w:rsid w:val="00187565"/>
    <w:rsid w:val="001A2889"/>
    <w:rsid w:val="001A292B"/>
    <w:rsid w:val="001A3FB9"/>
    <w:rsid w:val="001B387C"/>
    <w:rsid w:val="001C2406"/>
    <w:rsid w:val="001D53FE"/>
    <w:rsid w:val="001E34AD"/>
    <w:rsid w:val="001E426A"/>
    <w:rsid w:val="001F054C"/>
    <w:rsid w:val="001F0681"/>
    <w:rsid w:val="001F3924"/>
    <w:rsid w:val="001F453C"/>
    <w:rsid w:val="001F5DF7"/>
    <w:rsid w:val="001F6CF7"/>
    <w:rsid w:val="001F6E5D"/>
    <w:rsid w:val="00200E01"/>
    <w:rsid w:val="002013C3"/>
    <w:rsid w:val="002017EA"/>
    <w:rsid w:val="00202F3D"/>
    <w:rsid w:val="00204BC2"/>
    <w:rsid w:val="00210272"/>
    <w:rsid w:val="00215610"/>
    <w:rsid w:val="00216301"/>
    <w:rsid w:val="00216E55"/>
    <w:rsid w:val="002208B5"/>
    <w:rsid w:val="00223C9A"/>
    <w:rsid w:val="00224323"/>
    <w:rsid w:val="00226205"/>
    <w:rsid w:val="00231E96"/>
    <w:rsid w:val="00236E5B"/>
    <w:rsid w:val="0023718E"/>
    <w:rsid w:val="00237958"/>
    <w:rsid w:val="002415F9"/>
    <w:rsid w:val="00241C47"/>
    <w:rsid w:val="0024390A"/>
    <w:rsid w:val="00254736"/>
    <w:rsid w:val="0025502E"/>
    <w:rsid w:val="0025675A"/>
    <w:rsid w:val="00266FF5"/>
    <w:rsid w:val="00270C70"/>
    <w:rsid w:val="00272865"/>
    <w:rsid w:val="00274521"/>
    <w:rsid w:val="00276668"/>
    <w:rsid w:val="0028122D"/>
    <w:rsid w:val="00284F50"/>
    <w:rsid w:val="0029436B"/>
    <w:rsid w:val="00295E2F"/>
    <w:rsid w:val="002A058C"/>
    <w:rsid w:val="002A1B90"/>
    <w:rsid w:val="002A3C1C"/>
    <w:rsid w:val="002B013C"/>
    <w:rsid w:val="002B0D6F"/>
    <w:rsid w:val="002B36EC"/>
    <w:rsid w:val="002B61FE"/>
    <w:rsid w:val="002B6571"/>
    <w:rsid w:val="002B7679"/>
    <w:rsid w:val="002C1DF5"/>
    <w:rsid w:val="002C49E7"/>
    <w:rsid w:val="002C656C"/>
    <w:rsid w:val="002C6F8B"/>
    <w:rsid w:val="002C7DD7"/>
    <w:rsid w:val="002D5EBE"/>
    <w:rsid w:val="002D6905"/>
    <w:rsid w:val="002D7755"/>
    <w:rsid w:val="002F040D"/>
    <w:rsid w:val="002F518F"/>
    <w:rsid w:val="0030229E"/>
    <w:rsid w:val="00307D5B"/>
    <w:rsid w:val="003143C3"/>
    <w:rsid w:val="00314559"/>
    <w:rsid w:val="003163D8"/>
    <w:rsid w:val="0032081F"/>
    <w:rsid w:val="00323451"/>
    <w:rsid w:val="00333DAB"/>
    <w:rsid w:val="0033554F"/>
    <w:rsid w:val="003359B7"/>
    <w:rsid w:val="00340770"/>
    <w:rsid w:val="00343037"/>
    <w:rsid w:val="00346B6A"/>
    <w:rsid w:val="003514FA"/>
    <w:rsid w:val="003527FE"/>
    <w:rsid w:val="00353A78"/>
    <w:rsid w:val="00360A88"/>
    <w:rsid w:val="00360EA2"/>
    <w:rsid w:val="0036288D"/>
    <w:rsid w:val="00363D2B"/>
    <w:rsid w:val="00367B20"/>
    <w:rsid w:val="00372D97"/>
    <w:rsid w:val="0037710D"/>
    <w:rsid w:val="00382A33"/>
    <w:rsid w:val="00382FEE"/>
    <w:rsid w:val="00386063"/>
    <w:rsid w:val="00397AED"/>
    <w:rsid w:val="003A01EE"/>
    <w:rsid w:val="003A1845"/>
    <w:rsid w:val="003A5E58"/>
    <w:rsid w:val="003B1E33"/>
    <w:rsid w:val="003B34E3"/>
    <w:rsid w:val="003C0875"/>
    <w:rsid w:val="003C0F0B"/>
    <w:rsid w:val="003C44E8"/>
    <w:rsid w:val="003C4E88"/>
    <w:rsid w:val="003D01EA"/>
    <w:rsid w:val="003D1AF3"/>
    <w:rsid w:val="003D5E06"/>
    <w:rsid w:val="003E29E9"/>
    <w:rsid w:val="003E2DB0"/>
    <w:rsid w:val="003E35FF"/>
    <w:rsid w:val="003E3C98"/>
    <w:rsid w:val="003E45B3"/>
    <w:rsid w:val="003E5CAD"/>
    <w:rsid w:val="003E76EB"/>
    <w:rsid w:val="003F283E"/>
    <w:rsid w:val="004011A0"/>
    <w:rsid w:val="0041137B"/>
    <w:rsid w:val="00411EBD"/>
    <w:rsid w:val="00417199"/>
    <w:rsid w:val="00421FC9"/>
    <w:rsid w:val="004234B0"/>
    <w:rsid w:val="0042423D"/>
    <w:rsid w:val="0042482B"/>
    <w:rsid w:val="004336C7"/>
    <w:rsid w:val="00436300"/>
    <w:rsid w:val="00436372"/>
    <w:rsid w:val="00436525"/>
    <w:rsid w:val="00436675"/>
    <w:rsid w:val="00441592"/>
    <w:rsid w:val="00443C09"/>
    <w:rsid w:val="0045255D"/>
    <w:rsid w:val="0046311B"/>
    <w:rsid w:val="00464642"/>
    <w:rsid w:val="00464A8C"/>
    <w:rsid w:val="00476113"/>
    <w:rsid w:val="004871DE"/>
    <w:rsid w:val="00490223"/>
    <w:rsid w:val="00493657"/>
    <w:rsid w:val="00493CB6"/>
    <w:rsid w:val="004A0D38"/>
    <w:rsid w:val="004A0F22"/>
    <w:rsid w:val="004A188F"/>
    <w:rsid w:val="004A38A7"/>
    <w:rsid w:val="004B01A7"/>
    <w:rsid w:val="004B03FC"/>
    <w:rsid w:val="004B0BAD"/>
    <w:rsid w:val="004D1334"/>
    <w:rsid w:val="004D5A41"/>
    <w:rsid w:val="004D5C94"/>
    <w:rsid w:val="004F26AE"/>
    <w:rsid w:val="004F4BA7"/>
    <w:rsid w:val="004F7928"/>
    <w:rsid w:val="00503175"/>
    <w:rsid w:val="0051040B"/>
    <w:rsid w:val="00515CF5"/>
    <w:rsid w:val="00517695"/>
    <w:rsid w:val="005203C0"/>
    <w:rsid w:val="00523BBA"/>
    <w:rsid w:val="00533A47"/>
    <w:rsid w:val="00537B4B"/>
    <w:rsid w:val="00542A8B"/>
    <w:rsid w:val="00543AAF"/>
    <w:rsid w:val="00547644"/>
    <w:rsid w:val="005505D1"/>
    <w:rsid w:val="0055375D"/>
    <w:rsid w:val="00554921"/>
    <w:rsid w:val="00554FD7"/>
    <w:rsid w:val="0055567A"/>
    <w:rsid w:val="00563BC8"/>
    <w:rsid w:val="005661ED"/>
    <w:rsid w:val="00567B32"/>
    <w:rsid w:val="005746D4"/>
    <w:rsid w:val="005826E9"/>
    <w:rsid w:val="005832FB"/>
    <w:rsid w:val="00586F9E"/>
    <w:rsid w:val="00587A63"/>
    <w:rsid w:val="00592829"/>
    <w:rsid w:val="005930A8"/>
    <w:rsid w:val="0059626A"/>
    <w:rsid w:val="005A07BD"/>
    <w:rsid w:val="005A198A"/>
    <w:rsid w:val="005A5ECC"/>
    <w:rsid w:val="005B3B4F"/>
    <w:rsid w:val="005B5722"/>
    <w:rsid w:val="005B79C8"/>
    <w:rsid w:val="005C5071"/>
    <w:rsid w:val="005D3FBD"/>
    <w:rsid w:val="005D5E1D"/>
    <w:rsid w:val="00602CBE"/>
    <w:rsid w:val="0061072E"/>
    <w:rsid w:val="00611A24"/>
    <w:rsid w:val="006177FB"/>
    <w:rsid w:val="00621764"/>
    <w:rsid w:val="0062241F"/>
    <w:rsid w:val="00630652"/>
    <w:rsid w:val="00637E6B"/>
    <w:rsid w:val="00644DF3"/>
    <w:rsid w:val="00652AE0"/>
    <w:rsid w:val="0065668C"/>
    <w:rsid w:val="006618BB"/>
    <w:rsid w:val="00662962"/>
    <w:rsid w:val="006706D8"/>
    <w:rsid w:val="00670C10"/>
    <w:rsid w:val="00673176"/>
    <w:rsid w:val="00673AA5"/>
    <w:rsid w:val="00675D21"/>
    <w:rsid w:val="00677AD1"/>
    <w:rsid w:val="00677D47"/>
    <w:rsid w:val="006806B0"/>
    <w:rsid w:val="0068228D"/>
    <w:rsid w:val="00682622"/>
    <w:rsid w:val="00686843"/>
    <w:rsid w:val="006930A9"/>
    <w:rsid w:val="00696215"/>
    <w:rsid w:val="006978B9"/>
    <w:rsid w:val="006A189D"/>
    <w:rsid w:val="006A5019"/>
    <w:rsid w:val="006A6E79"/>
    <w:rsid w:val="006A7312"/>
    <w:rsid w:val="006C3394"/>
    <w:rsid w:val="006C394C"/>
    <w:rsid w:val="006D36A0"/>
    <w:rsid w:val="006D7113"/>
    <w:rsid w:val="006E6710"/>
    <w:rsid w:val="006F0CF2"/>
    <w:rsid w:val="006F3B8B"/>
    <w:rsid w:val="006F445A"/>
    <w:rsid w:val="006F5361"/>
    <w:rsid w:val="0070457C"/>
    <w:rsid w:val="00705543"/>
    <w:rsid w:val="00712779"/>
    <w:rsid w:val="007171AE"/>
    <w:rsid w:val="007236BA"/>
    <w:rsid w:val="0072383F"/>
    <w:rsid w:val="00724D81"/>
    <w:rsid w:val="007250AC"/>
    <w:rsid w:val="00737A35"/>
    <w:rsid w:val="00742C9B"/>
    <w:rsid w:val="00751C44"/>
    <w:rsid w:val="007541E0"/>
    <w:rsid w:val="00754918"/>
    <w:rsid w:val="00771714"/>
    <w:rsid w:val="007824C6"/>
    <w:rsid w:val="00787A3F"/>
    <w:rsid w:val="0079025C"/>
    <w:rsid w:val="00793F3D"/>
    <w:rsid w:val="00795E39"/>
    <w:rsid w:val="00795FDD"/>
    <w:rsid w:val="00796B22"/>
    <w:rsid w:val="007A2AB9"/>
    <w:rsid w:val="007B4558"/>
    <w:rsid w:val="007B5E35"/>
    <w:rsid w:val="007B752E"/>
    <w:rsid w:val="007C1B8D"/>
    <w:rsid w:val="007C1DC2"/>
    <w:rsid w:val="007C498C"/>
    <w:rsid w:val="007C4E77"/>
    <w:rsid w:val="007C52B0"/>
    <w:rsid w:val="007C66DF"/>
    <w:rsid w:val="007D1D6C"/>
    <w:rsid w:val="007D2C2E"/>
    <w:rsid w:val="007D3EC8"/>
    <w:rsid w:val="007D62FF"/>
    <w:rsid w:val="007E1756"/>
    <w:rsid w:val="007E4964"/>
    <w:rsid w:val="007F3293"/>
    <w:rsid w:val="007F7CC8"/>
    <w:rsid w:val="00800DBB"/>
    <w:rsid w:val="008123F1"/>
    <w:rsid w:val="008138FF"/>
    <w:rsid w:val="00815BE6"/>
    <w:rsid w:val="008160EA"/>
    <w:rsid w:val="00820EC6"/>
    <w:rsid w:val="0082418D"/>
    <w:rsid w:val="00827FFD"/>
    <w:rsid w:val="00833DA7"/>
    <w:rsid w:val="0083581D"/>
    <w:rsid w:val="00840865"/>
    <w:rsid w:val="00840C58"/>
    <w:rsid w:val="00845526"/>
    <w:rsid w:val="00845ABF"/>
    <w:rsid w:val="00854C48"/>
    <w:rsid w:val="00857DE6"/>
    <w:rsid w:val="00861C8C"/>
    <w:rsid w:val="008620C1"/>
    <w:rsid w:val="00864AE4"/>
    <w:rsid w:val="008706D7"/>
    <w:rsid w:val="00871D8D"/>
    <w:rsid w:val="00876258"/>
    <w:rsid w:val="008851F9"/>
    <w:rsid w:val="0088524D"/>
    <w:rsid w:val="00886220"/>
    <w:rsid w:val="00892D16"/>
    <w:rsid w:val="0089389E"/>
    <w:rsid w:val="0089410B"/>
    <w:rsid w:val="008A116D"/>
    <w:rsid w:val="008A395F"/>
    <w:rsid w:val="008A5B73"/>
    <w:rsid w:val="008A5ED3"/>
    <w:rsid w:val="008A6F7B"/>
    <w:rsid w:val="008B165C"/>
    <w:rsid w:val="008B4FB7"/>
    <w:rsid w:val="008B7F6E"/>
    <w:rsid w:val="008C277A"/>
    <w:rsid w:val="008C5462"/>
    <w:rsid w:val="008D478A"/>
    <w:rsid w:val="008E0B28"/>
    <w:rsid w:val="008E3D7F"/>
    <w:rsid w:val="008E41D8"/>
    <w:rsid w:val="008E630B"/>
    <w:rsid w:val="008E7774"/>
    <w:rsid w:val="008F219A"/>
    <w:rsid w:val="008F71B2"/>
    <w:rsid w:val="0090017D"/>
    <w:rsid w:val="00906277"/>
    <w:rsid w:val="00906A12"/>
    <w:rsid w:val="00916A93"/>
    <w:rsid w:val="00920E1F"/>
    <w:rsid w:val="00922CE6"/>
    <w:rsid w:val="0093047D"/>
    <w:rsid w:val="00933ED8"/>
    <w:rsid w:val="00934C55"/>
    <w:rsid w:val="00960CB5"/>
    <w:rsid w:val="00960D1F"/>
    <w:rsid w:val="00961ACE"/>
    <w:rsid w:val="00967674"/>
    <w:rsid w:val="00970FD5"/>
    <w:rsid w:val="00971319"/>
    <w:rsid w:val="009774A0"/>
    <w:rsid w:val="00990B36"/>
    <w:rsid w:val="00995A80"/>
    <w:rsid w:val="009976BA"/>
    <w:rsid w:val="009B3640"/>
    <w:rsid w:val="009B7B1D"/>
    <w:rsid w:val="009B7E6C"/>
    <w:rsid w:val="009C22C7"/>
    <w:rsid w:val="009C2307"/>
    <w:rsid w:val="009D0D90"/>
    <w:rsid w:val="009D5D8B"/>
    <w:rsid w:val="009D6A73"/>
    <w:rsid w:val="009D7304"/>
    <w:rsid w:val="009E1A51"/>
    <w:rsid w:val="009E2D17"/>
    <w:rsid w:val="009F4847"/>
    <w:rsid w:val="009F4F14"/>
    <w:rsid w:val="009F536D"/>
    <w:rsid w:val="009F5CBD"/>
    <w:rsid w:val="009F7053"/>
    <w:rsid w:val="009F78D1"/>
    <w:rsid w:val="00A00D00"/>
    <w:rsid w:val="00A1239B"/>
    <w:rsid w:val="00A12AF9"/>
    <w:rsid w:val="00A1331D"/>
    <w:rsid w:val="00A175EB"/>
    <w:rsid w:val="00A2263D"/>
    <w:rsid w:val="00A366B4"/>
    <w:rsid w:val="00A416F1"/>
    <w:rsid w:val="00A43662"/>
    <w:rsid w:val="00A43E6A"/>
    <w:rsid w:val="00A50925"/>
    <w:rsid w:val="00A51D9E"/>
    <w:rsid w:val="00A53A79"/>
    <w:rsid w:val="00A53BEC"/>
    <w:rsid w:val="00A53C12"/>
    <w:rsid w:val="00A569C8"/>
    <w:rsid w:val="00A56BC0"/>
    <w:rsid w:val="00A60903"/>
    <w:rsid w:val="00A61937"/>
    <w:rsid w:val="00A61AD6"/>
    <w:rsid w:val="00A6501B"/>
    <w:rsid w:val="00A663FF"/>
    <w:rsid w:val="00A665C4"/>
    <w:rsid w:val="00A7039B"/>
    <w:rsid w:val="00A712FA"/>
    <w:rsid w:val="00A7558A"/>
    <w:rsid w:val="00A8208B"/>
    <w:rsid w:val="00A8614B"/>
    <w:rsid w:val="00A86DF4"/>
    <w:rsid w:val="00A90760"/>
    <w:rsid w:val="00A90879"/>
    <w:rsid w:val="00A9451D"/>
    <w:rsid w:val="00AA6749"/>
    <w:rsid w:val="00AA79FD"/>
    <w:rsid w:val="00AB5273"/>
    <w:rsid w:val="00AC2BC9"/>
    <w:rsid w:val="00AC2D2B"/>
    <w:rsid w:val="00AC44E1"/>
    <w:rsid w:val="00AD2CF9"/>
    <w:rsid w:val="00AD307C"/>
    <w:rsid w:val="00AE06A1"/>
    <w:rsid w:val="00AE0A25"/>
    <w:rsid w:val="00AE37E9"/>
    <w:rsid w:val="00AE48A1"/>
    <w:rsid w:val="00AE6916"/>
    <w:rsid w:val="00AF1058"/>
    <w:rsid w:val="00AF138B"/>
    <w:rsid w:val="00AF6E29"/>
    <w:rsid w:val="00B00008"/>
    <w:rsid w:val="00B0793F"/>
    <w:rsid w:val="00B170CB"/>
    <w:rsid w:val="00B17755"/>
    <w:rsid w:val="00B21CEB"/>
    <w:rsid w:val="00B22374"/>
    <w:rsid w:val="00B23F20"/>
    <w:rsid w:val="00B305A6"/>
    <w:rsid w:val="00B30EBE"/>
    <w:rsid w:val="00B33263"/>
    <w:rsid w:val="00B355A3"/>
    <w:rsid w:val="00B43B7C"/>
    <w:rsid w:val="00B46A9F"/>
    <w:rsid w:val="00B60F04"/>
    <w:rsid w:val="00B65FA3"/>
    <w:rsid w:val="00B674DA"/>
    <w:rsid w:val="00B7111C"/>
    <w:rsid w:val="00B71591"/>
    <w:rsid w:val="00B73DCC"/>
    <w:rsid w:val="00B75077"/>
    <w:rsid w:val="00B77BEE"/>
    <w:rsid w:val="00B8462E"/>
    <w:rsid w:val="00B85BD0"/>
    <w:rsid w:val="00B90561"/>
    <w:rsid w:val="00B93909"/>
    <w:rsid w:val="00B93AD1"/>
    <w:rsid w:val="00B947BD"/>
    <w:rsid w:val="00B97777"/>
    <w:rsid w:val="00BB0F5B"/>
    <w:rsid w:val="00BB236F"/>
    <w:rsid w:val="00BB4A92"/>
    <w:rsid w:val="00BC1625"/>
    <w:rsid w:val="00BC2087"/>
    <w:rsid w:val="00BC54FB"/>
    <w:rsid w:val="00BD074C"/>
    <w:rsid w:val="00BD7939"/>
    <w:rsid w:val="00BE767F"/>
    <w:rsid w:val="00BF5AD9"/>
    <w:rsid w:val="00BF710D"/>
    <w:rsid w:val="00C022FC"/>
    <w:rsid w:val="00C02C0D"/>
    <w:rsid w:val="00C03C9C"/>
    <w:rsid w:val="00C11FD8"/>
    <w:rsid w:val="00C249A8"/>
    <w:rsid w:val="00C27B89"/>
    <w:rsid w:val="00C34052"/>
    <w:rsid w:val="00C36587"/>
    <w:rsid w:val="00C377CC"/>
    <w:rsid w:val="00C42163"/>
    <w:rsid w:val="00C45542"/>
    <w:rsid w:val="00C5088A"/>
    <w:rsid w:val="00C53DD4"/>
    <w:rsid w:val="00C61099"/>
    <w:rsid w:val="00C617C3"/>
    <w:rsid w:val="00C63C9C"/>
    <w:rsid w:val="00C63E67"/>
    <w:rsid w:val="00C834C1"/>
    <w:rsid w:val="00C86335"/>
    <w:rsid w:val="00C91EA6"/>
    <w:rsid w:val="00CB3775"/>
    <w:rsid w:val="00CB6003"/>
    <w:rsid w:val="00CC4B62"/>
    <w:rsid w:val="00CC6B9F"/>
    <w:rsid w:val="00CD0A79"/>
    <w:rsid w:val="00CD529A"/>
    <w:rsid w:val="00CE0031"/>
    <w:rsid w:val="00CE1FE1"/>
    <w:rsid w:val="00CE25F9"/>
    <w:rsid w:val="00CE7ECC"/>
    <w:rsid w:val="00CF0CCC"/>
    <w:rsid w:val="00D001B0"/>
    <w:rsid w:val="00D103EA"/>
    <w:rsid w:val="00D110A2"/>
    <w:rsid w:val="00D13D0C"/>
    <w:rsid w:val="00D1748E"/>
    <w:rsid w:val="00D20A82"/>
    <w:rsid w:val="00D23135"/>
    <w:rsid w:val="00D33B7F"/>
    <w:rsid w:val="00D349ED"/>
    <w:rsid w:val="00D36E45"/>
    <w:rsid w:val="00D40763"/>
    <w:rsid w:val="00D463A8"/>
    <w:rsid w:val="00D54725"/>
    <w:rsid w:val="00D5570F"/>
    <w:rsid w:val="00D61E4D"/>
    <w:rsid w:val="00D647F5"/>
    <w:rsid w:val="00D66ACD"/>
    <w:rsid w:val="00D66C78"/>
    <w:rsid w:val="00D72757"/>
    <w:rsid w:val="00D83C27"/>
    <w:rsid w:val="00D83D35"/>
    <w:rsid w:val="00D8451C"/>
    <w:rsid w:val="00D87BDE"/>
    <w:rsid w:val="00D92FE8"/>
    <w:rsid w:val="00DA5957"/>
    <w:rsid w:val="00DA7B80"/>
    <w:rsid w:val="00DB21D2"/>
    <w:rsid w:val="00DB4EEC"/>
    <w:rsid w:val="00DB6361"/>
    <w:rsid w:val="00DB71C3"/>
    <w:rsid w:val="00DC0DEF"/>
    <w:rsid w:val="00DC2629"/>
    <w:rsid w:val="00DD33B9"/>
    <w:rsid w:val="00DD5707"/>
    <w:rsid w:val="00DD5D17"/>
    <w:rsid w:val="00DD6318"/>
    <w:rsid w:val="00DE22EA"/>
    <w:rsid w:val="00DE47F7"/>
    <w:rsid w:val="00DE54E2"/>
    <w:rsid w:val="00DE78EA"/>
    <w:rsid w:val="00DF464C"/>
    <w:rsid w:val="00DF62F3"/>
    <w:rsid w:val="00DF633B"/>
    <w:rsid w:val="00DF65C0"/>
    <w:rsid w:val="00DF79F7"/>
    <w:rsid w:val="00E01308"/>
    <w:rsid w:val="00E164F4"/>
    <w:rsid w:val="00E24DE2"/>
    <w:rsid w:val="00E254C2"/>
    <w:rsid w:val="00E277A2"/>
    <w:rsid w:val="00E30B1E"/>
    <w:rsid w:val="00E31ADA"/>
    <w:rsid w:val="00E33774"/>
    <w:rsid w:val="00E6025A"/>
    <w:rsid w:val="00E63B29"/>
    <w:rsid w:val="00E72637"/>
    <w:rsid w:val="00E76158"/>
    <w:rsid w:val="00E77CB4"/>
    <w:rsid w:val="00E804FE"/>
    <w:rsid w:val="00E8096B"/>
    <w:rsid w:val="00E82710"/>
    <w:rsid w:val="00E9030E"/>
    <w:rsid w:val="00E94EEF"/>
    <w:rsid w:val="00E95412"/>
    <w:rsid w:val="00EA2274"/>
    <w:rsid w:val="00EA348C"/>
    <w:rsid w:val="00EA7A80"/>
    <w:rsid w:val="00EA7EB8"/>
    <w:rsid w:val="00EB10B4"/>
    <w:rsid w:val="00EC0113"/>
    <w:rsid w:val="00EC3B06"/>
    <w:rsid w:val="00EC63AE"/>
    <w:rsid w:val="00EC78EE"/>
    <w:rsid w:val="00EC7BAA"/>
    <w:rsid w:val="00ED0A32"/>
    <w:rsid w:val="00ED7A1F"/>
    <w:rsid w:val="00ED7DD4"/>
    <w:rsid w:val="00EE405A"/>
    <w:rsid w:val="00EE417F"/>
    <w:rsid w:val="00EE69FA"/>
    <w:rsid w:val="00EF29E0"/>
    <w:rsid w:val="00EF378F"/>
    <w:rsid w:val="00EF7EFB"/>
    <w:rsid w:val="00F00280"/>
    <w:rsid w:val="00F047B5"/>
    <w:rsid w:val="00F07970"/>
    <w:rsid w:val="00F155FD"/>
    <w:rsid w:val="00F169A3"/>
    <w:rsid w:val="00F17E7B"/>
    <w:rsid w:val="00F236DA"/>
    <w:rsid w:val="00F25992"/>
    <w:rsid w:val="00F26173"/>
    <w:rsid w:val="00F27CCA"/>
    <w:rsid w:val="00F32F6E"/>
    <w:rsid w:val="00F36A99"/>
    <w:rsid w:val="00F46737"/>
    <w:rsid w:val="00F61E36"/>
    <w:rsid w:val="00F64203"/>
    <w:rsid w:val="00F642E0"/>
    <w:rsid w:val="00F669A3"/>
    <w:rsid w:val="00F703A8"/>
    <w:rsid w:val="00F71D5D"/>
    <w:rsid w:val="00F73CEE"/>
    <w:rsid w:val="00F8627B"/>
    <w:rsid w:val="00F8721B"/>
    <w:rsid w:val="00F91ABA"/>
    <w:rsid w:val="00F92F32"/>
    <w:rsid w:val="00FA2CFC"/>
    <w:rsid w:val="00FA3F76"/>
    <w:rsid w:val="00FC4284"/>
    <w:rsid w:val="00FC7369"/>
    <w:rsid w:val="00FD05F1"/>
    <w:rsid w:val="00FD7F61"/>
    <w:rsid w:val="00FE3D94"/>
    <w:rsid w:val="00FE43B4"/>
    <w:rsid w:val="00FF272B"/>
    <w:rsid w:val="00FF36CF"/>
    <w:rsid w:val="00FF6725"/>
    <w:rsid w:val="00FF6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D94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11FD8"/>
    <w:pPr>
      <w:keepNext/>
      <w:jc w:val="center"/>
      <w:outlineLvl w:val="0"/>
    </w:pPr>
    <w:rPr>
      <w:rFonts w:ascii=".VnTimeH" w:hAnsi=".VnTimeH"/>
      <w:b/>
      <w:bCs/>
    </w:rPr>
  </w:style>
  <w:style w:type="paragraph" w:styleId="Heading2">
    <w:name w:val="heading 2"/>
    <w:basedOn w:val="Normal"/>
    <w:next w:val="Normal"/>
    <w:link w:val="Heading2Char"/>
    <w:qFormat/>
    <w:rsid w:val="00C11FD8"/>
    <w:pPr>
      <w:keepNext/>
      <w:jc w:val="center"/>
      <w:outlineLvl w:val="1"/>
    </w:pPr>
    <w:rPr>
      <w:rFonts w:ascii=".VnTime" w:hAnsi=".VnTime"/>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A82"/>
    <w:pPr>
      <w:spacing w:line="276" w:lineRule="auto"/>
      <w:ind w:left="720"/>
      <w:contextualSpacing/>
    </w:pPr>
    <w:rPr>
      <w:rFonts w:eastAsia="Calibri"/>
    </w:rPr>
  </w:style>
  <w:style w:type="paragraph" w:styleId="Footer">
    <w:name w:val="footer"/>
    <w:basedOn w:val="Normal"/>
    <w:rsid w:val="007A2AB9"/>
    <w:pPr>
      <w:tabs>
        <w:tab w:val="center" w:pos="4320"/>
        <w:tab w:val="right" w:pos="8640"/>
      </w:tabs>
    </w:pPr>
  </w:style>
  <w:style w:type="character" w:styleId="PageNumber">
    <w:name w:val="page number"/>
    <w:basedOn w:val="DefaultParagraphFont"/>
    <w:rsid w:val="007A2AB9"/>
  </w:style>
  <w:style w:type="table" w:styleId="TableGrid">
    <w:name w:val="Table Grid"/>
    <w:basedOn w:val="TableNormal"/>
    <w:uiPriority w:val="59"/>
    <w:rsid w:val="00061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22374"/>
    <w:rPr>
      <w:color w:val="0000FF"/>
      <w:u w:val="single"/>
    </w:rPr>
  </w:style>
  <w:style w:type="character" w:customStyle="1" w:styleId="apple-converted-space">
    <w:name w:val="apple-converted-space"/>
    <w:basedOn w:val="DefaultParagraphFont"/>
    <w:rsid w:val="00B22374"/>
  </w:style>
  <w:style w:type="paragraph" w:customStyle="1" w:styleId="DefaultParagraphFontParaCharCharCharCharChar">
    <w:name w:val="Default Paragraph Font Para Char Char Char Char Char"/>
    <w:autoRedefine/>
    <w:rsid w:val="00005C51"/>
    <w:pPr>
      <w:tabs>
        <w:tab w:val="left" w:pos="1152"/>
      </w:tabs>
      <w:spacing w:before="120" w:after="120" w:line="312" w:lineRule="auto"/>
    </w:pPr>
    <w:rPr>
      <w:rFonts w:ascii="Arial" w:hAnsi="Arial" w:cs="Arial"/>
      <w:sz w:val="26"/>
      <w:szCs w:val="26"/>
    </w:rPr>
  </w:style>
  <w:style w:type="character" w:customStyle="1" w:styleId="Heading1Char">
    <w:name w:val="Heading 1 Char"/>
    <w:link w:val="Heading1"/>
    <w:rsid w:val="00C11FD8"/>
    <w:rPr>
      <w:rFonts w:ascii=".VnTimeH" w:hAnsi=".VnTimeH"/>
      <w:b/>
      <w:bCs/>
      <w:sz w:val="24"/>
      <w:szCs w:val="24"/>
    </w:rPr>
  </w:style>
  <w:style w:type="character" w:customStyle="1" w:styleId="Heading2Char">
    <w:name w:val="Heading 2 Char"/>
    <w:link w:val="Heading2"/>
    <w:rsid w:val="00C11FD8"/>
    <w:rPr>
      <w:rFonts w:ascii=".VnTime" w:hAnsi=".VnTime"/>
      <w:i/>
      <w:iCs/>
      <w:sz w:val="26"/>
      <w:szCs w:val="24"/>
    </w:rPr>
  </w:style>
  <w:style w:type="paragraph" w:styleId="BodyText">
    <w:name w:val="Body Text"/>
    <w:basedOn w:val="Normal"/>
    <w:link w:val="BodyTextChar"/>
    <w:rsid w:val="00C11FD8"/>
    <w:pPr>
      <w:jc w:val="center"/>
    </w:pPr>
    <w:rPr>
      <w:rFonts w:ascii=".VnTimeH" w:hAnsi=".VnTimeH"/>
      <w:b/>
      <w:bCs/>
    </w:rPr>
  </w:style>
  <w:style w:type="character" w:customStyle="1" w:styleId="BodyTextChar">
    <w:name w:val="Body Text Char"/>
    <w:link w:val="BodyText"/>
    <w:rsid w:val="00C11FD8"/>
    <w:rPr>
      <w:rFonts w:ascii=".VnTimeH" w:hAnsi=".VnTimeH"/>
      <w:b/>
      <w:bCs/>
      <w:sz w:val="24"/>
      <w:szCs w:val="24"/>
    </w:rPr>
  </w:style>
  <w:style w:type="paragraph" w:styleId="BalloonText">
    <w:name w:val="Balloon Text"/>
    <w:basedOn w:val="Normal"/>
    <w:link w:val="BalloonTextChar"/>
    <w:rsid w:val="00637E6B"/>
    <w:rPr>
      <w:rFonts w:ascii="Tahoma" w:hAnsi="Tahoma" w:cs="Tahoma"/>
      <w:sz w:val="16"/>
      <w:szCs w:val="16"/>
    </w:rPr>
  </w:style>
  <w:style w:type="character" w:customStyle="1" w:styleId="BalloonTextChar">
    <w:name w:val="Balloon Text Char"/>
    <w:link w:val="BalloonText"/>
    <w:rsid w:val="00637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11FD8"/>
    <w:pPr>
      <w:keepNext/>
      <w:jc w:val="center"/>
      <w:outlineLvl w:val="0"/>
    </w:pPr>
    <w:rPr>
      <w:rFonts w:ascii=".VnTimeH" w:hAnsi=".VnTimeH"/>
      <w:b/>
      <w:bCs/>
    </w:rPr>
  </w:style>
  <w:style w:type="paragraph" w:styleId="Heading2">
    <w:name w:val="heading 2"/>
    <w:basedOn w:val="Normal"/>
    <w:next w:val="Normal"/>
    <w:link w:val="Heading2Char"/>
    <w:qFormat/>
    <w:rsid w:val="00C11FD8"/>
    <w:pPr>
      <w:keepNext/>
      <w:jc w:val="center"/>
      <w:outlineLvl w:val="1"/>
    </w:pPr>
    <w:rPr>
      <w:rFonts w:ascii=".VnTime" w:hAnsi=".VnTime"/>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A82"/>
    <w:pPr>
      <w:spacing w:line="276" w:lineRule="auto"/>
      <w:ind w:left="720"/>
      <w:contextualSpacing/>
    </w:pPr>
    <w:rPr>
      <w:rFonts w:eastAsia="Calibri"/>
    </w:rPr>
  </w:style>
  <w:style w:type="paragraph" w:styleId="Footer">
    <w:name w:val="footer"/>
    <w:basedOn w:val="Normal"/>
    <w:rsid w:val="007A2AB9"/>
    <w:pPr>
      <w:tabs>
        <w:tab w:val="center" w:pos="4320"/>
        <w:tab w:val="right" w:pos="8640"/>
      </w:tabs>
    </w:pPr>
  </w:style>
  <w:style w:type="character" w:styleId="PageNumber">
    <w:name w:val="page number"/>
    <w:basedOn w:val="DefaultParagraphFont"/>
    <w:rsid w:val="007A2AB9"/>
  </w:style>
  <w:style w:type="table" w:styleId="TableGrid">
    <w:name w:val="Table Grid"/>
    <w:basedOn w:val="TableNormal"/>
    <w:uiPriority w:val="59"/>
    <w:rsid w:val="00061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22374"/>
    <w:rPr>
      <w:color w:val="0000FF"/>
      <w:u w:val="single"/>
    </w:rPr>
  </w:style>
  <w:style w:type="character" w:customStyle="1" w:styleId="apple-converted-space">
    <w:name w:val="apple-converted-space"/>
    <w:basedOn w:val="DefaultParagraphFont"/>
    <w:rsid w:val="00B22374"/>
  </w:style>
  <w:style w:type="paragraph" w:customStyle="1" w:styleId="DefaultParagraphFontParaCharCharCharCharChar">
    <w:name w:val="Default Paragraph Font Para Char Char Char Char Char"/>
    <w:autoRedefine/>
    <w:rsid w:val="00005C51"/>
    <w:pPr>
      <w:tabs>
        <w:tab w:val="left" w:pos="1152"/>
      </w:tabs>
      <w:spacing w:before="120" w:after="120" w:line="312" w:lineRule="auto"/>
    </w:pPr>
    <w:rPr>
      <w:rFonts w:ascii="Arial" w:hAnsi="Arial" w:cs="Arial"/>
      <w:sz w:val="26"/>
      <w:szCs w:val="26"/>
    </w:rPr>
  </w:style>
  <w:style w:type="character" w:customStyle="1" w:styleId="Heading1Char">
    <w:name w:val="Heading 1 Char"/>
    <w:link w:val="Heading1"/>
    <w:rsid w:val="00C11FD8"/>
    <w:rPr>
      <w:rFonts w:ascii=".VnTimeH" w:hAnsi=".VnTimeH"/>
      <w:b/>
      <w:bCs/>
      <w:sz w:val="24"/>
      <w:szCs w:val="24"/>
    </w:rPr>
  </w:style>
  <w:style w:type="character" w:customStyle="1" w:styleId="Heading2Char">
    <w:name w:val="Heading 2 Char"/>
    <w:link w:val="Heading2"/>
    <w:rsid w:val="00C11FD8"/>
    <w:rPr>
      <w:rFonts w:ascii=".VnTime" w:hAnsi=".VnTime"/>
      <w:i/>
      <w:iCs/>
      <w:sz w:val="26"/>
      <w:szCs w:val="24"/>
    </w:rPr>
  </w:style>
  <w:style w:type="paragraph" w:styleId="BodyText">
    <w:name w:val="Body Text"/>
    <w:basedOn w:val="Normal"/>
    <w:link w:val="BodyTextChar"/>
    <w:rsid w:val="00C11FD8"/>
    <w:pPr>
      <w:jc w:val="center"/>
    </w:pPr>
    <w:rPr>
      <w:rFonts w:ascii=".VnTimeH" w:hAnsi=".VnTimeH"/>
      <w:b/>
      <w:bCs/>
    </w:rPr>
  </w:style>
  <w:style w:type="character" w:customStyle="1" w:styleId="BodyTextChar">
    <w:name w:val="Body Text Char"/>
    <w:link w:val="BodyText"/>
    <w:rsid w:val="00C11FD8"/>
    <w:rPr>
      <w:rFonts w:ascii=".VnTimeH" w:hAnsi=".VnTimeH"/>
      <w:b/>
      <w:bCs/>
      <w:sz w:val="24"/>
      <w:szCs w:val="24"/>
    </w:rPr>
  </w:style>
  <w:style w:type="paragraph" w:styleId="BalloonText">
    <w:name w:val="Balloon Text"/>
    <w:basedOn w:val="Normal"/>
    <w:link w:val="BalloonTextChar"/>
    <w:rsid w:val="00637E6B"/>
    <w:rPr>
      <w:rFonts w:ascii="Tahoma" w:hAnsi="Tahoma" w:cs="Tahoma"/>
      <w:sz w:val="16"/>
      <w:szCs w:val="16"/>
    </w:rPr>
  </w:style>
  <w:style w:type="character" w:customStyle="1" w:styleId="BalloonTextChar">
    <w:name w:val="Balloon Text Char"/>
    <w:link w:val="BalloonText"/>
    <w:rsid w:val="00637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6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van-ban/The-thao-Y-te/Thong-tu-02-BYT-TT-huong-dan-xet-tang-danh-hieu-thay-thuoc-nhan-dan-uu-tu-lan-thu-hai-44798.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uvienphapluat.vn/van-ban/The-thao-Y-te/Thong-tu-02-BYT-TT-huong-dan-xet-tang-danh-hieu-thay-thuoc-nhan-dan-uu-tu-lan-thu-hai-44798.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10B4A65-5FEA-4C42-B654-AC6F73A39D87}"/>
</file>

<file path=customXml/itemProps2.xml><?xml version="1.0" encoding="utf-8"?>
<ds:datastoreItem xmlns:ds="http://schemas.openxmlformats.org/officeDocument/2006/customXml" ds:itemID="{313A979E-2C21-49BA-80A9-95A1348F7C51}"/>
</file>

<file path=customXml/itemProps3.xml><?xml version="1.0" encoding="utf-8"?>
<ds:datastoreItem xmlns:ds="http://schemas.openxmlformats.org/officeDocument/2006/customXml" ds:itemID="{3800D127-5956-4EF3-A4C4-DC134F6B67C0}"/>
</file>

<file path=docProps/app.xml><?xml version="1.0" encoding="utf-8"?>
<Properties xmlns="http://schemas.openxmlformats.org/officeDocument/2006/extended-properties" xmlns:vt="http://schemas.openxmlformats.org/officeDocument/2006/docPropsVTypes">
  <Template>Normal</Template>
  <TotalTime>1</TotalTime>
  <Pages>8</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Báo cáo đánh giá việc thực hiện các quy định của pháp luật về xét tặng danh hiệu Thầy thuốc nhân dân, Thầy thuốc ưu tú</vt:lpstr>
    </vt:vector>
  </TitlesOfParts>
  <Company>Microsoft</Company>
  <LinksUpToDate>false</LinksUpToDate>
  <CharactersWithSpaces>17339</CharactersWithSpaces>
  <SharedDoc>false</SharedDoc>
  <HLinks>
    <vt:vector size="18" baseType="variant">
      <vt:variant>
        <vt:i4>4718615</vt:i4>
      </vt:variant>
      <vt:variant>
        <vt:i4>6</vt:i4>
      </vt:variant>
      <vt:variant>
        <vt:i4>0</vt:i4>
      </vt:variant>
      <vt:variant>
        <vt:i4>5</vt:i4>
      </vt:variant>
      <vt:variant>
        <vt:lpwstr>http://thuvienphapluat.vn/van-ban/The-thao-Y-te/Thong-tu-02-BYT-TT-huong-dan-xet-tang-danh-hieu-thay-thuoc-nhan-dan-uu-tu-lan-thu-hai-44798.aspx</vt:lpwstr>
      </vt:variant>
      <vt:variant>
        <vt:lpwstr/>
      </vt:variant>
      <vt:variant>
        <vt:i4>4718615</vt:i4>
      </vt:variant>
      <vt:variant>
        <vt:i4>3</vt:i4>
      </vt:variant>
      <vt:variant>
        <vt:i4>0</vt:i4>
      </vt:variant>
      <vt:variant>
        <vt:i4>5</vt:i4>
      </vt:variant>
      <vt:variant>
        <vt:lpwstr>http://thuvienphapluat.vn/van-ban/The-thao-Y-te/Thong-tu-02-BYT-TT-huong-dan-xet-tang-danh-hieu-thay-thuoc-nhan-dan-uu-tu-lan-thu-hai-44798.aspx</vt:lpwstr>
      </vt:variant>
      <vt:variant>
        <vt:lpwstr/>
      </vt:variant>
      <vt:variant>
        <vt:i4>262173</vt:i4>
      </vt:variant>
      <vt:variant>
        <vt:i4>0</vt:i4>
      </vt:variant>
      <vt:variant>
        <vt:i4>0</vt:i4>
      </vt:variant>
      <vt:variant>
        <vt:i4>5</vt:i4>
      </vt:variant>
      <vt:variant>
        <vt:lpwstr>http://thuvienphapluat.vn/van-ban/The-thao-Y-te/Thong-tu-14-BYT-TT-huong-dan-xet-tang-danh-hieu-thay-thuoc-nhan-dan-uu-tu-37325.aspx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cáo đánh giá việc thực hiện các quy định của pháp luật về xét tặng danh hiệu Thầy thuốc nhân dân, Thầy thuốc ưu tú</dc:title>
  <dc:creator>Spc</dc:creator>
  <cp:lastModifiedBy>Mycomputer</cp:lastModifiedBy>
  <cp:revision>2</cp:revision>
  <cp:lastPrinted>2015-11-06T11:14:00Z</cp:lastPrinted>
  <dcterms:created xsi:type="dcterms:W3CDTF">2015-11-17T04:54:00Z</dcterms:created>
  <dcterms:modified xsi:type="dcterms:W3CDTF">2015-11-17T04:54:00Z</dcterms:modified>
</cp:coreProperties>
</file>